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237"/>
        <w:gridCol w:w="1294"/>
        <w:gridCol w:w="275"/>
        <w:gridCol w:w="305"/>
        <w:gridCol w:w="157"/>
        <w:gridCol w:w="212"/>
        <w:gridCol w:w="402"/>
        <w:gridCol w:w="492"/>
        <w:gridCol w:w="435"/>
        <w:gridCol w:w="34"/>
        <w:gridCol w:w="681"/>
        <w:gridCol w:w="34"/>
        <w:gridCol w:w="501"/>
        <w:gridCol w:w="34"/>
        <w:gridCol w:w="502"/>
        <w:gridCol w:w="34"/>
        <w:gridCol w:w="260"/>
        <w:gridCol w:w="243"/>
        <w:gridCol w:w="34"/>
        <w:gridCol w:w="526"/>
        <w:gridCol w:w="34"/>
        <w:gridCol w:w="392"/>
        <w:gridCol w:w="34"/>
        <w:gridCol w:w="1005"/>
        <w:gridCol w:w="34"/>
        <w:gridCol w:w="330"/>
        <w:gridCol w:w="9"/>
        <w:gridCol w:w="34"/>
        <w:gridCol w:w="532"/>
        <w:gridCol w:w="34"/>
        <w:gridCol w:w="1191"/>
        <w:gridCol w:w="9"/>
        <w:gridCol w:w="34"/>
      </w:tblGrid>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sidP="005C32E7">
            <w:pPr>
              <w:spacing w:after="0"/>
              <w:jc w:val="center"/>
              <w:rPr>
                <w:rFonts w:eastAsia="Calibri" w:cs="Times New Roman"/>
                <w:b/>
                <w:sz w:val="24"/>
                <w:szCs w:val="24"/>
              </w:rPr>
            </w:pPr>
            <w:r>
              <w:rPr>
                <w:rFonts w:eastAsia="Calibri" w:cs="Times New Roman"/>
                <w:b/>
                <w:sz w:val="24"/>
                <w:szCs w:val="24"/>
              </w:rPr>
              <w:t xml:space="preserve">Sylabus na rok akademicki </w:t>
            </w:r>
            <w:r w:rsidR="005C32E7">
              <w:rPr>
                <w:rFonts w:eastAsia="Calibri" w:cs="Times New Roman"/>
                <w:b/>
                <w:sz w:val="24"/>
                <w:szCs w:val="24"/>
              </w:rPr>
              <w:t>2018/2019</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b/>
              </w:rPr>
            </w:pPr>
            <w:r>
              <w:rPr>
                <w:rFonts w:eastAsia="Calibri" w:cs="Times New Roman"/>
                <w:b/>
              </w:rPr>
              <w:t>Opis przedmiotu kształcenia</w:t>
            </w:r>
          </w:p>
        </w:tc>
      </w:tr>
      <w:tr w:rsidR="000B0085" w:rsidTr="00303CAE">
        <w:tc>
          <w:tcPr>
            <w:tcW w:w="2882" w:type="dxa"/>
            <w:gridSpan w:val="7"/>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Nazwa modułu/przedmiotu</w:t>
            </w:r>
          </w:p>
        </w:tc>
        <w:tc>
          <w:tcPr>
            <w:tcW w:w="3844" w:type="dxa"/>
            <w:gridSpan w:val="14"/>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jc w:val="center"/>
              <w:rPr>
                <w:rFonts w:eastAsia="Calibri" w:cs="Times New Roman"/>
                <w:b/>
              </w:rPr>
            </w:pPr>
          </w:p>
          <w:p w:rsidR="00E52318" w:rsidRPr="00757EC3" w:rsidRDefault="00E52318" w:rsidP="00E52318">
            <w:pPr>
              <w:spacing w:after="0"/>
              <w:jc w:val="center"/>
              <w:rPr>
                <w:rFonts w:eastAsia="Calibri" w:cs="Times New Roman"/>
                <w:b/>
                <w:i/>
                <w:sz w:val="28"/>
                <w:szCs w:val="28"/>
                <w:u w:val="single"/>
              </w:rPr>
            </w:pPr>
            <w:r w:rsidRPr="00757EC3">
              <w:rPr>
                <w:rFonts w:eastAsia="Calibri" w:cs="Times New Roman"/>
                <w:b/>
                <w:i/>
                <w:sz w:val="28"/>
                <w:szCs w:val="28"/>
                <w:u w:val="single"/>
              </w:rPr>
              <w:t>Praktyczne Nauczanie Kliniczne</w:t>
            </w:r>
          </w:p>
          <w:p w:rsidR="000B0085" w:rsidRDefault="00D4392D" w:rsidP="00E52318">
            <w:pPr>
              <w:spacing w:after="0"/>
              <w:jc w:val="center"/>
              <w:rPr>
                <w:color w:val="3333FF"/>
              </w:rPr>
            </w:pPr>
            <w:r w:rsidRPr="00757EC3">
              <w:rPr>
                <w:rFonts w:eastAsia="Calibri" w:cs="Times New Roman"/>
                <w:b/>
                <w:i/>
                <w:sz w:val="28"/>
                <w:szCs w:val="28"/>
                <w:u w:val="single"/>
                <w:lang w:eastAsia="pl-PL"/>
              </w:rPr>
              <w:t>PEDIATR</w:t>
            </w:r>
            <w:r w:rsidR="004A2429" w:rsidRPr="00757EC3">
              <w:rPr>
                <w:rFonts w:eastAsia="Calibri" w:cs="Times New Roman"/>
                <w:b/>
                <w:i/>
                <w:sz w:val="28"/>
                <w:szCs w:val="28"/>
                <w:u w:val="single"/>
                <w:lang w:eastAsia="pl-PL"/>
              </w:rPr>
              <w:t>I</w:t>
            </w:r>
            <w:r w:rsidRPr="00757EC3">
              <w:rPr>
                <w:rFonts w:eastAsia="Calibri" w:cs="Times New Roman"/>
                <w:b/>
                <w:i/>
                <w:sz w:val="28"/>
                <w:szCs w:val="28"/>
                <w:u w:val="single"/>
                <w:lang w:eastAsia="pl-PL"/>
              </w:rPr>
              <w:t>A</w:t>
            </w:r>
            <w:bookmarkStart w:id="0" w:name="_GoBack"/>
            <w:bookmarkEnd w:id="0"/>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pPr>
            <w:r>
              <w:rPr>
                <w:rFonts w:eastAsia="Times New Roman" w:cs="Times New Roman"/>
                <w:b/>
                <w:lang w:eastAsia="pl-PL"/>
              </w:rPr>
              <w:t>Grupa szczegółowych efektów kształcenia</w:t>
            </w:r>
          </w:p>
        </w:tc>
      </w:tr>
      <w:tr w:rsidR="000B0085" w:rsidTr="00303CAE">
        <w:tc>
          <w:tcPr>
            <w:tcW w:w="2882" w:type="dxa"/>
            <w:gridSpan w:val="7"/>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rPr>
                <w:rFonts w:eastAsia="Calibri" w:cs="Times New Roman"/>
                <w:b/>
              </w:rPr>
            </w:pPr>
          </w:p>
        </w:tc>
        <w:tc>
          <w:tcPr>
            <w:tcW w:w="3844" w:type="dxa"/>
            <w:gridSpan w:val="14"/>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rPr>
                <w:rFonts w:eastAsia="Calibri" w:cs="Times New Roman"/>
                <w:b/>
              </w:rPr>
            </w:pPr>
          </w:p>
        </w:tc>
        <w:tc>
          <w:tcPr>
            <w:tcW w:w="146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b/>
                <w:strike/>
              </w:rPr>
            </w:pPr>
            <w:r>
              <w:rPr>
                <w:rFonts w:eastAsia="Calibri" w:cs="Times New Roman"/>
                <w:b/>
              </w:rPr>
              <w:t>Kod grupy</w:t>
            </w:r>
          </w:p>
          <w:p w:rsidR="000B0085" w:rsidRDefault="00E52318">
            <w:pPr>
              <w:spacing w:after="0"/>
              <w:rPr>
                <w:rFonts w:eastAsia="Calibri" w:cs="Times New Roman"/>
                <w:b/>
              </w:rPr>
            </w:pPr>
            <w:r>
              <w:rPr>
                <w:rFonts w:eastAsia="Calibri" w:cs="Times New Roman"/>
                <w:b/>
              </w:rPr>
              <w:t xml:space="preserve">E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Times New Roman" w:cs="Times New Roman"/>
                <w:b/>
                <w:lang w:eastAsia="pl-PL"/>
              </w:rPr>
            </w:pPr>
            <w:r>
              <w:rPr>
                <w:rFonts w:eastAsia="Times New Roman" w:cs="Times New Roman"/>
                <w:b/>
                <w:lang w:eastAsia="pl-PL"/>
              </w:rPr>
              <w:t>Nazwa grupy</w:t>
            </w:r>
          </w:p>
          <w:p w:rsidR="000B0085" w:rsidRDefault="00E52318">
            <w:pPr>
              <w:spacing w:after="0"/>
              <w:rPr>
                <w:rFonts w:eastAsia="Times New Roman" w:cs="Times New Roman"/>
                <w:b/>
                <w:lang w:eastAsia="pl-PL"/>
              </w:rPr>
            </w:pPr>
            <w:r>
              <w:rPr>
                <w:rFonts w:eastAsia="Times New Roman" w:cs="Times New Roman"/>
                <w:b/>
                <w:lang w:eastAsia="pl-PL"/>
              </w:rPr>
              <w:t xml:space="preserve">Nauki Kliniczne Niezabiegowe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Wydział</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Lekarski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Kierunek studiów</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Lekarski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Specjalności</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Nie dotyczy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Poziom studiów</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jednolite magisterskie – </w:t>
            </w:r>
            <w:r>
              <w:rPr>
                <w:rFonts w:eastAsia="Calibri" w:cs="Times New Roman"/>
                <w:b/>
              </w:rPr>
              <w:t>x</w:t>
            </w:r>
            <w:r>
              <w:rPr>
                <w:rFonts w:eastAsia="Calibri" w:cs="Times New Roman"/>
              </w:rPr>
              <w:t xml:space="preserve">  </w:t>
            </w:r>
          </w:p>
          <w:p w:rsidR="000B0085" w:rsidRDefault="000B0085">
            <w:pPr>
              <w:spacing w:after="0"/>
              <w:rPr>
                <w:rFonts w:eastAsia="Calibri" w:cs="Times New Roman"/>
              </w:rPr>
            </w:pP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Forma studiów</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 stacjonarne  </w:t>
            </w:r>
            <w:r>
              <w:rPr>
                <w:rFonts w:eastAsia="Calibri" w:cs="Times New Roman"/>
                <w:b/>
              </w:rPr>
              <w:t xml:space="preserve"> x</w:t>
            </w:r>
            <w:r>
              <w:rPr>
                <w:rFonts w:eastAsia="Calibri" w:cs="Times New Roman"/>
              </w:rPr>
              <w:t xml:space="preserve">     niestacjonarne </w:t>
            </w:r>
            <w:r>
              <w:rPr>
                <w:rFonts w:eastAsia="Calibri" w:cs="Times New Roman"/>
                <w:b/>
              </w:rPr>
              <w:t>x</w:t>
            </w:r>
            <w:r>
              <w:rPr>
                <w:rFonts w:eastAsia="Calibri" w:cs="Times New Roman"/>
              </w:rPr>
              <w:t xml:space="preserve">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Rok studiów</w:t>
            </w:r>
          </w:p>
        </w:tc>
        <w:tc>
          <w:tcPr>
            <w:tcW w:w="300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b/>
              </w:rPr>
            </w:pPr>
            <w:r>
              <w:rPr>
                <w:rFonts w:eastAsia="Calibri" w:cs="Times New Roman"/>
                <w:b/>
              </w:rPr>
              <w:t>VI</w:t>
            </w:r>
          </w:p>
        </w:tc>
        <w:tc>
          <w:tcPr>
            <w:tcW w:w="126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Semestr studiów:</w:t>
            </w:r>
          </w:p>
        </w:tc>
        <w:tc>
          <w:tcPr>
            <w:tcW w:w="3212"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b/>
              </w:rPr>
              <w:t>x</w:t>
            </w:r>
            <w:r>
              <w:rPr>
                <w:rFonts w:eastAsia="Calibri" w:cs="Times New Roman"/>
              </w:rPr>
              <w:t xml:space="preserve"> zimowy</w:t>
            </w:r>
          </w:p>
          <w:p w:rsidR="000B0085" w:rsidRDefault="00E52318">
            <w:pPr>
              <w:spacing w:after="0"/>
              <w:rPr>
                <w:rFonts w:eastAsia="Calibri" w:cs="Times New Roman"/>
              </w:rPr>
            </w:pPr>
            <w:r>
              <w:rPr>
                <w:rFonts w:eastAsia="Calibri" w:cs="Times New Roman"/>
                <w:b/>
              </w:rPr>
              <w:t>x</w:t>
            </w:r>
            <w:r>
              <w:rPr>
                <w:rFonts w:eastAsia="Calibri" w:cs="Times New Roman"/>
              </w:rPr>
              <w:t xml:space="preserve"> letni</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Typ przedmiotu</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b/>
              </w:rPr>
              <w:t>x</w:t>
            </w:r>
            <w:r>
              <w:rPr>
                <w:rFonts w:eastAsia="Calibri" w:cs="Times New Roman"/>
              </w:rPr>
              <w:t xml:space="preserve"> obowiązkowy</w:t>
            </w:r>
          </w:p>
          <w:p w:rsidR="000B0085" w:rsidRDefault="00E52318">
            <w:pPr>
              <w:spacing w:after="0"/>
              <w:rPr>
                <w:rFonts w:eastAsia="Calibri" w:cs="Times New Roman"/>
              </w:rPr>
            </w:pPr>
            <w:r>
              <w:rPr>
                <w:rFonts w:ascii="Symbol" w:eastAsia="Calibri" w:hAnsi="Symbol" w:cs="Times New Roman"/>
              </w:rPr>
              <w:t></w:t>
            </w:r>
            <w:r>
              <w:rPr>
                <w:rFonts w:eastAsia="Calibri" w:cs="Times New Roman"/>
              </w:rPr>
              <w:t xml:space="preserve"> ograniczonego wyboru</w:t>
            </w:r>
          </w:p>
          <w:p w:rsidR="000B0085" w:rsidRDefault="00E52318">
            <w:pPr>
              <w:spacing w:after="0"/>
              <w:rPr>
                <w:rFonts w:eastAsia="Calibri" w:cs="Times New Roman"/>
              </w:rPr>
            </w:pPr>
            <w:r>
              <w:rPr>
                <w:rFonts w:ascii="Symbol" w:eastAsia="Calibri" w:hAnsi="Symbol" w:cs="Times New Roman"/>
              </w:rPr>
              <w:t></w:t>
            </w:r>
            <w:r>
              <w:rPr>
                <w:rFonts w:eastAsia="Calibri" w:cs="Times New Roman"/>
              </w:rPr>
              <w:t xml:space="preserve">  wolny wybór/ fakultatywny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Rodzaj przedmiotu</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kierunkowy   </w:t>
            </w:r>
          </w:p>
        </w:tc>
      </w:tr>
      <w:tr w:rsidR="000B0085" w:rsidTr="00303CAE">
        <w:tc>
          <w:tcPr>
            <w:tcW w:w="288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rPr>
            </w:pPr>
            <w:r>
              <w:rPr>
                <w:rFonts w:eastAsia="Calibri" w:cs="Times New Roman"/>
                <w:b/>
              </w:rPr>
              <w:t>Język wykładowy</w:t>
            </w:r>
          </w:p>
        </w:tc>
        <w:tc>
          <w:tcPr>
            <w:tcW w:w="7482"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b/>
              </w:rPr>
              <w:t>X</w:t>
            </w:r>
            <w:r>
              <w:rPr>
                <w:rFonts w:eastAsia="Calibri" w:cs="Times New Roman"/>
              </w:rPr>
              <w:t xml:space="preserve"> polski        </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New Roman"/>
              </w:rPr>
              <w:t xml:space="preserve">* zaznaczyć odpowiednio, zamieniając  </w:t>
            </w:r>
            <w:r>
              <w:rPr>
                <w:rFonts w:ascii="Symbol" w:eastAsia="Calibri" w:hAnsi="Symbol" w:cs="Times New Roman"/>
              </w:rPr>
              <w:t></w:t>
            </w:r>
            <w:r>
              <w:rPr>
                <w:rFonts w:eastAsia="Calibri" w:cs="Times New Roman"/>
              </w:rPr>
              <w:t xml:space="preserve">  na </w:t>
            </w:r>
            <w:r>
              <w:rPr>
                <w:rFonts w:eastAsia="Calibri" w:cs="Times New Roman"/>
                <w:b/>
              </w:rPr>
              <w:t>X</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b/>
              </w:rPr>
            </w:pPr>
            <w:r>
              <w:rPr>
                <w:rFonts w:eastAsia="Calibri" w:cs="Times New Roman"/>
                <w:b/>
              </w:rPr>
              <w:t>Liczba godzin</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rPr>
            </w:pPr>
            <w:r>
              <w:rPr>
                <w:rFonts w:eastAsia="Calibri" w:cs="Times New Roman"/>
              </w:rPr>
              <w:t>Forma kształcenia</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p w:rsidR="000B0085" w:rsidRDefault="00E52318">
            <w:pPr>
              <w:spacing w:after="0" w:line="240" w:lineRule="auto"/>
              <w:rPr>
                <w:rFonts w:eastAsia="Calibri" w:cs="Times New Roman"/>
              </w:rPr>
            </w:pPr>
            <w:r>
              <w:rPr>
                <w:rFonts w:eastAsia="Calibri" w:cs="Times New Roman"/>
                <w:b/>
              </w:rPr>
              <w:t>Semestr zimowy:</w:t>
            </w:r>
          </w:p>
        </w:tc>
      </w:tr>
      <w:tr w:rsidR="000B0085" w:rsidTr="00874DCA">
        <w:trPr>
          <w:gridAfter w:val="1"/>
          <w:wAfter w:w="34" w:type="dxa"/>
          <w:trHeight w:hRule="exact" w:val="2089"/>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p w:rsidR="000B0085" w:rsidRDefault="000B0085">
            <w:pPr>
              <w:spacing w:after="0" w:line="240" w:lineRule="auto"/>
              <w:rPr>
                <w:rFonts w:eastAsia="Calibri" w:cs="Times New Roman"/>
                <w:b/>
              </w:rPr>
            </w:pPr>
          </w:p>
          <w:p w:rsidR="000B0085" w:rsidRDefault="000B0085">
            <w:pPr>
              <w:spacing w:after="0" w:line="240" w:lineRule="auto"/>
              <w:rPr>
                <w:rFonts w:eastAsia="Calibri" w:cs="Times New Roman"/>
                <w:b/>
              </w:rPr>
            </w:pPr>
          </w:p>
          <w:p w:rsidR="000B0085" w:rsidRDefault="00E52318">
            <w:pPr>
              <w:spacing w:after="0" w:line="240" w:lineRule="auto"/>
              <w:rPr>
                <w:rFonts w:eastAsia="Calibri" w:cs="Times New Roman"/>
              </w:rPr>
            </w:pPr>
            <w:r>
              <w:rPr>
                <w:rFonts w:eastAsia="Calibri" w:cs="Times New Roman"/>
              </w:rPr>
              <w:t>Jednostka realizująca przedmiot</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Wykłady (WY)</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Seminaria  (SE)</w:t>
            </w: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 xml:space="preserve"> Ćwiczenia audytoryjne (CA)</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Ćwiczenia kierunkowe - niekliniczne (CN)</w:t>
            </w: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b/>
                <w:sz w:val="12"/>
                <w:szCs w:val="12"/>
              </w:rPr>
              <w:t xml:space="preserve">Ćwiczenia kliniczne   </w:t>
            </w:r>
            <w:r>
              <w:rPr>
                <w:rFonts w:eastAsia="Calibri" w:cs="Times New Roman"/>
                <w:sz w:val="12"/>
                <w:szCs w:val="12"/>
              </w:rPr>
              <w:t>(CK)</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Ćwiczenia laboratoryjne (CL)</w:t>
            </w: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Ćwiczenia w warunkach symulowanych (CS)</w:t>
            </w: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b/>
                <w:sz w:val="12"/>
                <w:szCs w:val="12"/>
              </w:rPr>
              <w:t>Zajęcia praktyczne przy pacjencie (PP)</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Ćwiczenia specjalistyczne - magisterskie (CM)</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Lektoraty (LE)</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Zajęcia wychowania fizycznego-obowiązkowe  (WF)</w:t>
            </w: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Praktyki zawodowe (PZ)</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Samokształcenie (Czas pracy własnej studenta)</w:t>
            </w: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jc w:val="center"/>
              <w:rPr>
                <w:rFonts w:eastAsia="Calibri" w:cs="Times New Roman"/>
                <w:sz w:val="12"/>
                <w:szCs w:val="12"/>
              </w:rPr>
            </w:pPr>
            <w:r>
              <w:rPr>
                <w:rFonts w:eastAsia="Calibri" w:cs="Times New Roman"/>
                <w:sz w:val="12"/>
                <w:szCs w:val="12"/>
              </w:rPr>
              <w:t>E-learning (EL)</w:t>
            </w: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I Katedra i Klinika Pediatrii, Alergologii i Kardiologii</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12</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II Katedra i Klinika Pediatrii, Gastroenterologii i Żywienia</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12</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Endokrynologii i Diabetologii Wieku Rozwojowego </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rsidP="002163C8">
            <w:pPr>
              <w:spacing w:after="0" w:line="240" w:lineRule="auto"/>
              <w:jc w:val="center"/>
              <w:rPr>
                <w:rFonts w:eastAsia="Calibri" w:cs="Times New Roman"/>
                <w:sz w:val="24"/>
                <w:szCs w:val="24"/>
              </w:rPr>
            </w:pPr>
            <w:r>
              <w:rPr>
                <w:rFonts w:eastAsia="Calibri" w:cs="Times New Roman"/>
                <w:sz w:val="24"/>
                <w:szCs w:val="24"/>
              </w:rPr>
              <w:t>12</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Transplantacji Szpiku, Onkologii i Hematologii Dziecięcej </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12</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Nefrologii Pediatrycznej </w:t>
            </w: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12</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gridAfter w:val="2"/>
          <w:wAfter w:w="43" w:type="dxa"/>
          <w:trHeight w:val="522"/>
        </w:trPr>
        <w:tc>
          <w:tcPr>
            <w:tcW w:w="2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20"/>
                <w:szCs w:val="20"/>
              </w:rPr>
            </w:pPr>
          </w:p>
        </w:tc>
        <w:tc>
          <w:tcPr>
            <w:tcW w:w="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0"/>
                <w:szCs w:val="10"/>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5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r>
      <w:tr w:rsidR="000B0085" w:rsidTr="00303CAE">
        <w:trPr>
          <w:trHeight w:val="522"/>
        </w:trPr>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p w:rsidR="000B0085" w:rsidRDefault="00E52318">
            <w:pPr>
              <w:spacing w:after="0" w:line="240" w:lineRule="auto"/>
              <w:rPr>
                <w:rFonts w:eastAsia="Calibri" w:cs="Times New Roman"/>
                <w:b/>
              </w:rPr>
            </w:pPr>
            <w:r>
              <w:rPr>
                <w:rFonts w:eastAsia="Calibri" w:cs="Times New Roman"/>
                <w:b/>
              </w:rPr>
              <w:t>semestr letni:</w:t>
            </w:r>
          </w:p>
          <w:p w:rsidR="000B0085" w:rsidRDefault="000B0085">
            <w:pPr>
              <w:spacing w:after="0" w:line="240" w:lineRule="auto"/>
              <w:rPr>
                <w:rFonts w:eastAsia="Calibri" w:cs="Times New Roman"/>
              </w:rPr>
            </w:pPr>
          </w:p>
        </w:tc>
      </w:tr>
      <w:tr w:rsidR="000B0085" w:rsidTr="00874DCA">
        <w:trPr>
          <w:trHeight w:hRule="exac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p w:rsidR="000B0085" w:rsidRDefault="000B0085">
            <w:pPr>
              <w:spacing w:after="0" w:line="240" w:lineRule="auto"/>
              <w:rPr>
                <w:rFonts w:eastAsia="Calibri" w:cs="Times New Roman"/>
                <w:b/>
              </w:rPr>
            </w:pPr>
          </w:p>
          <w:p w:rsidR="000B0085" w:rsidRDefault="000B0085">
            <w:pPr>
              <w:spacing w:after="0" w:line="240" w:lineRule="auto"/>
              <w:rPr>
                <w:rFonts w:eastAsia="Calibri" w:cs="Times New Roman"/>
                <w:b/>
              </w:rPr>
            </w:pPr>
          </w:p>
          <w:p w:rsidR="000B0085" w:rsidRDefault="00E52318">
            <w:pPr>
              <w:spacing w:after="0" w:line="240" w:lineRule="auto"/>
              <w:rPr>
                <w:rFonts w:eastAsia="Calibri" w:cs="Times New Roman"/>
              </w:rPr>
            </w:pPr>
            <w:r>
              <w:rPr>
                <w:rFonts w:eastAsia="Calibri" w:cs="Times New Roman"/>
              </w:rPr>
              <w:t>Jednostka realizująca przedmiot</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Wykłady (WY)</w:t>
            </w: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Seminaria  (SE)</w:t>
            </w: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 xml:space="preserve"> Ćwiczenia audytoryjne (CA)</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Ćwiczenia kierunkowe - niekliniczne (CN)</w:t>
            </w: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b/>
                <w:sz w:val="12"/>
                <w:szCs w:val="12"/>
              </w:rPr>
              <w:t xml:space="preserve">Ćwiczenia kliniczne   </w:t>
            </w:r>
            <w:r>
              <w:rPr>
                <w:rFonts w:eastAsia="Calibri" w:cs="Times New Roman"/>
                <w:sz w:val="12"/>
                <w:szCs w:val="12"/>
              </w:rPr>
              <w:t>(CK)</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Ćwiczenia laboratoryjne (CL)</w:t>
            </w: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Ćwiczenia w warunkach symulowanych (CS)</w:t>
            </w: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b/>
                <w:sz w:val="12"/>
                <w:szCs w:val="12"/>
              </w:rPr>
              <w:t>Zajęcia praktyczne przy pacjencie (PP)</w:t>
            </w: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Ćwiczenia specjalistyczne - magisterskie (CM)</w:t>
            </w: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Lektoraty (LE)</w:t>
            </w: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Zajęcia wychowania fizycznego-obowiązkowe  (WF)</w:t>
            </w: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Praktyki zawodowe (PZ)</w:t>
            </w: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Samokształcenie (Czas pracy własnej studenta)</w:t>
            </w: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0B0085" w:rsidRDefault="00E52318">
            <w:pPr>
              <w:spacing w:after="0" w:line="240" w:lineRule="auto"/>
              <w:ind w:left="113" w:right="113"/>
              <w:rPr>
                <w:rFonts w:eastAsia="Calibri" w:cs="Times New Roman"/>
                <w:sz w:val="12"/>
                <w:szCs w:val="12"/>
              </w:rPr>
            </w:pPr>
            <w:r>
              <w:rPr>
                <w:rFonts w:eastAsia="Calibri" w:cs="Times New Roman"/>
                <w:sz w:val="12"/>
                <w:szCs w:val="12"/>
              </w:rPr>
              <w:t>E-learning (EL)</w:t>
            </w: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I Katedra i Klinika Pediatrii, Alergologii i Kardiologii</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sz w:val="24"/>
                <w:szCs w:val="24"/>
              </w:rPr>
            </w:pPr>
            <w:r>
              <w:rPr>
                <w:rFonts w:eastAsia="Calibri" w:cs="Times New Roman"/>
                <w:sz w:val="24"/>
                <w:szCs w:val="24"/>
              </w:rPr>
              <w:t>8</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jc w:val="center"/>
              <w:rPr>
                <w:sz w:val="24"/>
                <w:szCs w:val="24"/>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II Katedra i Klinika Pediatrii, Gastroenterologii i Żywienia</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sz w:val="24"/>
                <w:szCs w:val="24"/>
              </w:rPr>
            </w:pPr>
            <w:r>
              <w:rPr>
                <w:rFonts w:eastAsia="Calibri" w:cs="Times New Roman"/>
                <w:sz w:val="24"/>
                <w:szCs w:val="24"/>
              </w:rPr>
              <w:t>8</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jc w:val="center"/>
              <w:rPr>
                <w:sz w:val="24"/>
                <w:szCs w:val="24"/>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Endokrynologii i Diabetologii Wieku Rozwojowego </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sz w:val="24"/>
                <w:szCs w:val="24"/>
              </w:rPr>
            </w:pPr>
            <w:r>
              <w:rPr>
                <w:rFonts w:eastAsia="Calibri" w:cs="Times New Roman"/>
                <w:sz w:val="24"/>
                <w:szCs w:val="24"/>
              </w:rPr>
              <w:t>8</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jc w:val="center"/>
              <w:rPr>
                <w:sz w:val="24"/>
                <w:szCs w:val="24"/>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Transplantacji Szpiku, Onkologii i Hematologii Dziecięcej </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sz w:val="24"/>
                <w:szCs w:val="24"/>
              </w:rPr>
            </w:pPr>
            <w:r>
              <w:rPr>
                <w:rFonts w:eastAsia="Calibri" w:cs="Times New Roman"/>
                <w:sz w:val="24"/>
                <w:szCs w:val="24"/>
              </w:rPr>
              <w:t>8</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jc w:val="center"/>
              <w:rPr>
                <w:sz w:val="24"/>
                <w:szCs w:val="24"/>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20"/>
                <w:szCs w:val="20"/>
              </w:rPr>
            </w:pPr>
            <w:r>
              <w:rPr>
                <w:rFonts w:eastAsia="Calibri" w:cs="Times New Roman"/>
                <w:sz w:val="20"/>
                <w:szCs w:val="20"/>
              </w:rPr>
              <w:t xml:space="preserve">Katedra i Klinika Nefrologii Pediatrycznej </w:t>
            </w:r>
          </w:p>
        </w:tc>
        <w:tc>
          <w:tcPr>
            <w:tcW w:w="4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0"/>
                <w:szCs w:val="10"/>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2163C8">
            <w:pPr>
              <w:spacing w:after="0" w:line="240" w:lineRule="auto"/>
              <w:jc w:val="center"/>
              <w:rPr>
                <w:rFonts w:eastAsia="Calibri" w:cs="Times New Roman"/>
                <w:sz w:val="24"/>
                <w:szCs w:val="24"/>
              </w:rPr>
            </w:pPr>
            <w:r>
              <w:rPr>
                <w:rFonts w:eastAsia="Calibri" w:cs="Times New Roman"/>
                <w:sz w:val="24"/>
                <w:szCs w:val="24"/>
              </w:rPr>
              <w:t>2</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sz w:val="24"/>
                <w:szCs w:val="24"/>
              </w:rPr>
            </w:pPr>
            <w:r>
              <w:rPr>
                <w:rFonts w:eastAsia="Calibri" w:cs="Times New Roman"/>
                <w:sz w:val="24"/>
                <w:szCs w:val="24"/>
              </w:rPr>
              <w:t>8</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jc w:val="center"/>
              <w:rPr>
                <w:sz w:val="24"/>
                <w:szCs w:val="24"/>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tc>
      </w:tr>
      <w:tr w:rsidR="000B0085" w:rsidTr="00303CAE">
        <w:trPr>
          <w:trHeight w:val="546"/>
        </w:trPr>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p w:rsidR="000B0085" w:rsidRDefault="000B0085">
            <w:pPr>
              <w:spacing w:after="0" w:line="240" w:lineRule="auto"/>
              <w:rPr>
                <w:rFonts w:eastAsia="Calibri" w:cs="Times New Roman"/>
                <w:sz w:val="18"/>
                <w:szCs w:val="18"/>
              </w:rPr>
            </w:pPr>
          </w:p>
        </w:tc>
      </w:tr>
      <w:tr w:rsidR="000B0085" w:rsidTr="00874DCA">
        <w:trPr>
          <w:trHeight w:val="546"/>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line="240" w:lineRule="auto"/>
              <w:rPr>
                <w:rFonts w:eastAsia="Calibri" w:cs="Times New Roman"/>
                <w:sz w:val="16"/>
                <w:szCs w:val="16"/>
              </w:rPr>
            </w:pPr>
            <w:r>
              <w:rPr>
                <w:rFonts w:eastAsia="Calibri" w:cs="Times New Roman"/>
                <w:b/>
              </w:rPr>
              <w:t>Razem w roku</w:t>
            </w:r>
          </w:p>
        </w:tc>
        <w:tc>
          <w:tcPr>
            <w:tcW w:w="107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b/>
                <w:sz w:val="24"/>
                <w:szCs w:val="24"/>
              </w:rPr>
            </w:pPr>
            <w:r>
              <w:rPr>
                <w:rFonts w:eastAsia="Calibri" w:cs="Times New Roman"/>
                <w:b/>
                <w:sz w:val="24"/>
                <w:szCs w:val="24"/>
              </w:rPr>
              <w:t>20</w:t>
            </w:r>
          </w:p>
        </w:tc>
        <w:tc>
          <w:tcPr>
            <w:tcW w:w="4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0B0085">
            <w:pPr>
              <w:spacing w:after="0" w:line="240" w:lineRule="auto"/>
              <w:jc w:val="center"/>
              <w:rPr>
                <w:rFonts w:eastAsia="Calibri" w:cs="Times New Roman"/>
                <w:b/>
                <w:sz w:val="24"/>
                <w:szCs w:val="24"/>
              </w:rPr>
            </w:pPr>
          </w:p>
        </w:tc>
        <w:tc>
          <w:tcPr>
            <w:tcW w:w="7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center"/>
              <w:rPr>
                <w:rFonts w:eastAsia="Calibri" w:cs="Times New Roman"/>
                <w:b/>
                <w:sz w:val="24"/>
                <w:szCs w:val="24"/>
              </w:rPr>
            </w:pPr>
            <w:r>
              <w:rPr>
                <w:rFonts w:eastAsia="Calibri" w:cs="Times New Roman"/>
                <w:b/>
                <w:sz w:val="24"/>
                <w:szCs w:val="24"/>
              </w:rPr>
              <w:t>100</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8"/>
                <w:szCs w:val="18"/>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8"/>
                <w:szCs w:val="18"/>
              </w:rPr>
            </w:pPr>
          </w:p>
        </w:tc>
        <w:tc>
          <w:tcPr>
            <w:tcW w:w="5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b/>
                <w:sz w:val="18"/>
                <w:szCs w:val="18"/>
              </w:rPr>
            </w:pPr>
          </w:p>
        </w:tc>
        <w:tc>
          <w:tcPr>
            <w:tcW w:w="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10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3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c>
          <w:tcPr>
            <w:tcW w:w="123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line="240" w:lineRule="auto"/>
              <w:rPr>
                <w:rFonts w:eastAsia="Calibri" w:cs="Times New Roman"/>
                <w:sz w:val="16"/>
                <w:szCs w:val="16"/>
              </w:rPr>
            </w:pPr>
          </w:p>
        </w:tc>
      </w:tr>
      <w:tr w:rsidR="000B0085" w:rsidTr="00303CAE">
        <w:tc>
          <w:tcPr>
            <w:tcW w:w="10364" w:type="dxa"/>
            <w:gridSpan w:val="3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B0085" w:rsidRDefault="000B0085">
            <w:pPr>
              <w:spacing w:after="0" w:line="240" w:lineRule="auto"/>
              <w:rPr>
                <w:rFonts w:eastAsia="Calibri" w:cs="Times New Roman"/>
                <w:b/>
              </w:rPr>
            </w:pPr>
          </w:p>
          <w:p w:rsidR="000B0085" w:rsidRDefault="00E52318">
            <w:pPr>
              <w:spacing w:after="0" w:line="240" w:lineRule="auto"/>
            </w:pPr>
            <w:r>
              <w:rPr>
                <w:rFonts w:eastAsia="Calibri" w:cs="Times New Roman"/>
                <w:b/>
              </w:rPr>
              <w:t xml:space="preserve">Cele kształcenia: </w:t>
            </w:r>
            <w:r>
              <w:rPr>
                <w:rFonts w:eastAsia="Calibri" w:cs="Times New Roman"/>
              </w:rPr>
              <w:t>(max. 6 pozycji)</w:t>
            </w:r>
          </w:p>
          <w:p w:rsidR="000B0085" w:rsidRDefault="00E52318">
            <w:pPr>
              <w:spacing w:after="0" w:line="240" w:lineRule="auto"/>
              <w:rPr>
                <w:rFonts w:eastAsia="Calibri" w:cs="Times New Roman"/>
              </w:rPr>
            </w:pPr>
            <w:r>
              <w:rPr>
                <w:rFonts w:eastAsia="Calibri" w:cs="Times New Roman"/>
              </w:rPr>
              <w:t>C1. Badanie podmiotowe i przedmiotowe dziecka</w:t>
            </w:r>
          </w:p>
          <w:p w:rsidR="000B0085" w:rsidRDefault="00E52318">
            <w:pPr>
              <w:spacing w:after="0" w:line="240" w:lineRule="auto"/>
              <w:rPr>
                <w:rFonts w:eastAsia="Calibri" w:cs="Times New Roman"/>
              </w:rPr>
            </w:pPr>
            <w:r>
              <w:rPr>
                <w:rFonts w:eastAsia="Calibri" w:cs="Times New Roman"/>
              </w:rPr>
              <w:t>C2.  Odrębności morfologiczno-fizjologiczne poszczególnych narządów i układów w wieku rozwojowym</w:t>
            </w:r>
          </w:p>
          <w:p w:rsidR="000B0085" w:rsidRDefault="00E52318">
            <w:pPr>
              <w:spacing w:after="0" w:line="240" w:lineRule="auto"/>
              <w:rPr>
                <w:rFonts w:eastAsia="Calibri" w:cs="Times New Roman"/>
              </w:rPr>
            </w:pPr>
            <w:r>
              <w:rPr>
                <w:rFonts w:eastAsia="Calibri" w:cs="Times New Roman"/>
              </w:rPr>
              <w:t xml:space="preserve">C3.  Zasady racjonalnego żywienia dzieci zdrowych i chorych </w:t>
            </w:r>
          </w:p>
          <w:p w:rsidR="000B0085" w:rsidRDefault="00E52318">
            <w:pPr>
              <w:spacing w:after="0" w:line="240" w:lineRule="auto"/>
              <w:rPr>
                <w:rFonts w:eastAsia="Calibri" w:cs="Times New Roman"/>
              </w:rPr>
            </w:pPr>
            <w:r>
              <w:rPr>
                <w:rFonts w:eastAsia="Calibri" w:cs="Times New Roman"/>
              </w:rPr>
              <w:t xml:space="preserve">C4. Choroby poszczególnych narządów i układów w wieku rozwojowym, patofizjologia okresu noworodkowego </w:t>
            </w:r>
          </w:p>
          <w:p w:rsidR="000B0085" w:rsidRDefault="00E52318">
            <w:pPr>
              <w:spacing w:after="0" w:line="240" w:lineRule="auto"/>
              <w:rPr>
                <w:rFonts w:eastAsia="Calibri" w:cs="Times New Roman"/>
              </w:rPr>
            </w:pPr>
            <w:r>
              <w:rPr>
                <w:rFonts w:eastAsia="Calibri" w:cs="Times New Roman"/>
              </w:rPr>
              <w:t xml:space="preserve">C5. Nieprawidłowości rozwoju psychoruchowego i psychicznego, zaburzenia zachowania </w:t>
            </w:r>
          </w:p>
          <w:p w:rsidR="000B0085" w:rsidRDefault="00E52318">
            <w:pPr>
              <w:spacing w:after="0" w:line="240" w:lineRule="auto"/>
            </w:pPr>
            <w:r>
              <w:rPr>
                <w:rFonts w:eastAsia="Calibri" w:cs="Times New Roman"/>
              </w:rPr>
              <w:t xml:space="preserve">C6. Opieka nad dzieckiem szkolnym </w:t>
            </w:r>
          </w:p>
          <w:p w:rsidR="000B0085" w:rsidRDefault="000B0085">
            <w:pPr>
              <w:spacing w:after="0"/>
              <w:rPr>
                <w:rFonts w:eastAsia="Calibri" w:cs="Times New Roman"/>
                <w:b/>
              </w:rPr>
            </w:pPr>
          </w:p>
        </w:tc>
      </w:tr>
      <w:tr w:rsidR="00E52318" w:rsidTr="00303CAE">
        <w:tc>
          <w:tcPr>
            <w:tcW w:w="10364" w:type="dxa"/>
            <w:gridSpan w:val="33"/>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E52318" w:rsidRDefault="00E52318">
            <w:pPr>
              <w:spacing w:after="0" w:line="240" w:lineRule="auto"/>
              <w:rPr>
                <w:rFonts w:eastAsia="Calibri" w:cs="Times New Roman"/>
                <w:b/>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jc w:val="center"/>
              <w:rPr>
                <w:rFonts w:eastAsia="Calibri" w:cs="Times New Roman"/>
                <w:b/>
              </w:rPr>
            </w:pPr>
          </w:p>
          <w:p w:rsidR="000B0085" w:rsidRDefault="00E52318" w:rsidP="00E52318">
            <w:pPr>
              <w:spacing w:after="0"/>
              <w:jc w:val="center"/>
              <w:rPr>
                <w:rFonts w:eastAsia="Calibri" w:cs="Times New Roman"/>
                <w:b/>
              </w:rPr>
            </w:pPr>
            <w:r>
              <w:rPr>
                <w:rFonts w:eastAsia="Calibri" w:cs="Times New Roman"/>
                <w:b/>
              </w:rPr>
              <w:t>Macierz efektów kształcenia dla modułu/przedmiotu w odniesieniu do metod weryfikacji zamierzonych efektów kształcenia oraz formy realizacji zajęć:</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rPr>
                <w:rFonts w:eastAsia="Calibri" w:cs="Times New Roman"/>
                <w:sz w:val="18"/>
                <w:szCs w:val="18"/>
              </w:rPr>
            </w:pPr>
            <w:r>
              <w:rPr>
                <w:rFonts w:eastAsia="Calibri" w:cs="Times New Roman"/>
                <w:sz w:val="18"/>
                <w:szCs w:val="18"/>
              </w:rPr>
              <w:t>Numer efektu kształcenia przedmiotowego</w:t>
            </w:r>
          </w:p>
          <w:p w:rsidR="000B0085" w:rsidRDefault="000B0085">
            <w:pPr>
              <w:spacing w:after="0"/>
              <w:rPr>
                <w:rFonts w:eastAsia="Calibri" w:cs="Times New Roman"/>
                <w:sz w:val="18"/>
                <w:szCs w:val="18"/>
              </w:rPr>
            </w:pP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rPr>
                <w:rFonts w:eastAsia="Calibri" w:cs="Times New Roman"/>
                <w:sz w:val="18"/>
                <w:szCs w:val="18"/>
              </w:rPr>
            </w:pPr>
            <w:r>
              <w:rPr>
                <w:rFonts w:eastAsia="Calibri" w:cs="Times New Roman"/>
                <w:sz w:val="18"/>
                <w:szCs w:val="18"/>
              </w:rPr>
              <w:t>Numer efektu kształcenia kierunkowego</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rPr>
                <w:rFonts w:eastAsia="Calibri" w:cs="Times New Roman"/>
                <w:sz w:val="18"/>
                <w:szCs w:val="18"/>
              </w:rPr>
            </w:pPr>
            <w:r>
              <w:rPr>
                <w:rFonts w:eastAsia="Calibri" w:cs="Times New Roman"/>
                <w:sz w:val="18"/>
                <w:szCs w:val="18"/>
              </w:rPr>
              <w:t xml:space="preserve">Student, który zaliczy moduł/przedmiot </w:t>
            </w:r>
          </w:p>
          <w:p w:rsidR="000B0085" w:rsidRDefault="00E52318">
            <w:pPr>
              <w:spacing w:after="0"/>
              <w:rPr>
                <w:rFonts w:eastAsia="Calibri" w:cs="Times New Roman"/>
                <w:sz w:val="18"/>
                <w:szCs w:val="18"/>
              </w:rPr>
            </w:pPr>
            <w:r>
              <w:rPr>
                <w:rFonts w:eastAsia="Calibri" w:cs="Times New Roman"/>
                <w:sz w:val="18"/>
                <w:szCs w:val="18"/>
              </w:rPr>
              <w:t>wie/umie/potrafi</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rPr>
                <w:rFonts w:eastAsia="Calibri" w:cs="Times New Roman"/>
                <w:sz w:val="18"/>
                <w:szCs w:val="18"/>
              </w:rPr>
            </w:pPr>
            <w:r>
              <w:rPr>
                <w:rFonts w:eastAsia="Calibri" w:cs="Times New Roman"/>
                <w:sz w:val="18"/>
                <w:szCs w:val="18"/>
              </w:rPr>
              <w:t>Metody weryfikacji osiągnięcia zamierzonych efektów kształcenia (formujące i podsumowujące)</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rPr>
                <w:rFonts w:eastAsia="Calibri" w:cs="Times New Roman"/>
                <w:sz w:val="18"/>
                <w:szCs w:val="18"/>
              </w:rPr>
            </w:pPr>
            <w:r>
              <w:rPr>
                <w:rFonts w:eastAsia="Calibri" w:cs="Times New Roman"/>
                <w:sz w:val="18"/>
                <w:szCs w:val="18"/>
              </w:rPr>
              <w:t>Forma zajęć dydaktycznych</w:t>
            </w:r>
          </w:p>
          <w:p w:rsidR="000B0085" w:rsidRDefault="000B0085">
            <w:pPr>
              <w:spacing w:after="0"/>
              <w:rPr>
                <w:rFonts w:eastAsia="Calibri" w:cs="Times New Roman"/>
                <w:sz w:val="18"/>
                <w:szCs w:val="18"/>
              </w:rPr>
            </w:pPr>
          </w:p>
          <w:p w:rsidR="000B0085" w:rsidRDefault="00E52318">
            <w:pPr>
              <w:spacing w:after="0"/>
              <w:rPr>
                <w:rFonts w:eastAsia="Calibri" w:cs="Times New Roman"/>
                <w:i/>
                <w:sz w:val="16"/>
                <w:szCs w:val="16"/>
              </w:rPr>
            </w:pPr>
            <w:r>
              <w:rPr>
                <w:rFonts w:eastAsia="Calibri" w:cs="Times New Roman"/>
                <w:i/>
                <w:sz w:val="16"/>
                <w:szCs w:val="16"/>
              </w:rPr>
              <w:t>** wpisz symbol</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W 1</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EW1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Zna uwarunkowania środowiskowe i epidemiologiczne najczęstszych chorób</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W 2 </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EW2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Zna zasady żywienia dzieci zdrowych i chorych, szczepień ochronnych i prowadzenia bilansu zdrowia</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lastRenderedPageBreak/>
              <w:t xml:space="preserve">W3 </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EW3</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Zna i rozumie przyczyny, objawy, zasady diagnozowania i postępowania terapeutycznego w przypadku najczęstszych chorób (krzywicy, wada serca, ostrych i przewlekłych chorób układu oddechowego, niedokrwistości, chorób nowotworowych, ostrych i przewlekłych bólów brzucha, zakażeń układu moczowego, chorób tarczycy, cukrzycy, otyłości, mózgowego porażenia dziecięcego, padaczki, zespołów genetycznych, chorób tkanki łącznej, zna najczęściej występujące stany zagrożenia życia.</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W4</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EW4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Zna zagadnienia dziecka maltretowanego i wykorzystywanego seksualnie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W5</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EW6</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Zna najczęściej występujące stany zagrożenia życia u dzieci i zasady postępowania w tych stanach.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rPr>
          <w:trHeight w:val="447"/>
        </w:trPr>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 1</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EU2</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Przeprowadza wywiad lekarski z dzieckiem i jego rodziną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U2</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EU4</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Przeprowadza badanie fizykalne dziecka w każdym wieku</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rPr>
          <w:trHeight w:val="349"/>
        </w:trPr>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U3</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EU6</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Przeprowadza badanie słuchu i pola widzenia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303CAE"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b/>
                <w:sz w:val="24"/>
                <w:szCs w:val="24"/>
              </w:rPr>
            </w:pPr>
            <w:r>
              <w:rPr>
                <w:rFonts w:eastAsia="Calibri" w:cs="Times New Roman"/>
                <w:b/>
                <w:sz w:val="24"/>
                <w:szCs w:val="24"/>
              </w:rPr>
              <w:t>U4</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b/>
                <w:sz w:val="24"/>
                <w:szCs w:val="24"/>
              </w:rPr>
            </w:pPr>
            <w:r>
              <w:rPr>
                <w:rFonts w:eastAsia="Calibri" w:cs="Times New Roman"/>
                <w:b/>
                <w:sz w:val="24"/>
                <w:szCs w:val="24"/>
              </w:rPr>
              <w:t>EU9</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sz w:val="16"/>
                <w:szCs w:val="16"/>
              </w:rPr>
            </w:pPr>
            <w:r>
              <w:rPr>
                <w:rFonts w:eastAsia="Calibri" w:cs="Times New Roman"/>
                <w:sz w:val="16"/>
                <w:szCs w:val="16"/>
              </w:rPr>
              <w:t>Zestawia pomiary antropometryczne i ciśnienia krwi z danymi na siatkach centylowych</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sz w:val="24"/>
                <w:szCs w:val="24"/>
              </w:rPr>
            </w:pPr>
            <w:r>
              <w:rPr>
                <w:rFonts w:eastAsia="Calibri" w:cs="Times New Roman"/>
                <w:sz w:val="24"/>
                <w:szCs w:val="24"/>
              </w:rPr>
              <w:t>Egzamin końcowy</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rPr>
                <w:rFonts w:eastAsia="Calibri" w:cs="Times New Roman"/>
                <w:sz w:val="24"/>
                <w:szCs w:val="24"/>
              </w:rPr>
            </w:pPr>
            <w:proofErr w:type="spellStart"/>
            <w:r>
              <w:rPr>
                <w:rFonts w:eastAsia="Calibri" w:cs="Times New Roman"/>
                <w:sz w:val="24"/>
                <w:szCs w:val="24"/>
              </w:rPr>
              <w:t>CK,CA</w:t>
            </w:r>
            <w:proofErr w:type="spellEnd"/>
          </w:p>
        </w:tc>
      </w:tr>
      <w:tr w:rsidR="00303CAE"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b/>
                <w:sz w:val="24"/>
                <w:szCs w:val="24"/>
              </w:rPr>
            </w:pPr>
            <w:r>
              <w:rPr>
                <w:rFonts w:eastAsia="Calibri" w:cs="Times New Roman"/>
                <w:b/>
                <w:sz w:val="24"/>
                <w:szCs w:val="24"/>
              </w:rPr>
              <w:t>U5</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b/>
                <w:sz w:val="24"/>
                <w:szCs w:val="24"/>
              </w:rPr>
            </w:pPr>
            <w:r>
              <w:rPr>
                <w:rFonts w:eastAsia="Calibri" w:cs="Times New Roman"/>
                <w:b/>
                <w:sz w:val="24"/>
                <w:szCs w:val="24"/>
              </w:rPr>
              <w:t>EU10</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sz w:val="16"/>
                <w:szCs w:val="16"/>
              </w:rPr>
            </w:pPr>
            <w:r>
              <w:rPr>
                <w:rFonts w:eastAsia="Calibri" w:cs="Times New Roman"/>
                <w:sz w:val="16"/>
                <w:szCs w:val="16"/>
              </w:rPr>
              <w:t>Ocenia stopień zaawansowania dojrzewania płciowego</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sz w:val="24"/>
                <w:szCs w:val="24"/>
              </w:rPr>
            </w:pPr>
            <w:r>
              <w:rPr>
                <w:rFonts w:eastAsia="Calibri" w:cs="Times New Roman"/>
                <w:sz w:val="24"/>
                <w:szCs w:val="24"/>
              </w:rPr>
              <w:t>Egzamin końcowy</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rPr>
                <w:rFonts w:eastAsia="Calibri" w:cs="Times New Roman"/>
                <w:sz w:val="24"/>
                <w:szCs w:val="24"/>
              </w:rPr>
            </w:pPr>
            <w:proofErr w:type="spellStart"/>
            <w:r>
              <w:rPr>
                <w:rFonts w:eastAsia="Calibri" w:cs="Times New Roman"/>
                <w:sz w:val="24"/>
                <w:szCs w:val="24"/>
              </w:rPr>
              <w:t>CK,CA</w:t>
            </w:r>
            <w:proofErr w:type="spellEnd"/>
          </w:p>
        </w:tc>
      </w:tr>
      <w:tr w:rsidR="000B0085" w:rsidTr="00303CAE">
        <w:trPr>
          <w:trHeight w:val="415"/>
        </w:trPr>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w:t>
            </w:r>
            <w:r w:rsidR="00303CAE">
              <w:rPr>
                <w:rFonts w:eastAsia="Calibri" w:cs="Times New Roman"/>
                <w:b/>
                <w:sz w:val="24"/>
                <w:szCs w:val="24"/>
              </w:rPr>
              <w:t>6</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EU11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Przeprowadza badania bilansowe</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w:t>
            </w:r>
            <w:r w:rsidR="00303CAE">
              <w:rPr>
                <w:rFonts w:eastAsia="Calibri" w:cs="Times New Roman"/>
                <w:b/>
                <w:sz w:val="24"/>
                <w:szCs w:val="24"/>
              </w:rPr>
              <w:t>7</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EU12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Przeprowadza diagnostykę różnicową najczęstszych chorób wieku dziecięcego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rPr>
          <w:trHeight w:val="459"/>
        </w:trPr>
        <w:tc>
          <w:tcPr>
            <w:tcW w:w="15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U</w:t>
            </w:r>
            <w:r w:rsidR="00303CAE">
              <w:rPr>
                <w:rFonts w:eastAsia="Calibri" w:cs="Times New Roman"/>
                <w:b/>
                <w:sz w:val="24"/>
                <w:szCs w:val="24"/>
              </w:rPr>
              <w:t>8</w:t>
            </w:r>
          </w:p>
        </w:tc>
        <w:tc>
          <w:tcPr>
            <w:tcW w:w="1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b/>
                <w:sz w:val="24"/>
                <w:szCs w:val="24"/>
              </w:rPr>
            </w:pPr>
            <w:r>
              <w:rPr>
                <w:rFonts w:eastAsia="Calibri" w:cs="Times New Roman"/>
                <w:b/>
                <w:sz w:val="24"/>
                <w:szCs w:val="24"/>
              </w:rPr>
              <w:t xml:space="preserve">EU16 </w:t>
            </w:r>
          </w:p>
        </w:tc>
        <w:tc>
          <w:tcPr>
            <w:tcW w:w="3284"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6"/>
                <w:szCs w:val="16"/>
              </w:rPr>
            </w:pPr>
            <w:r>
              <w:rPr>
                <w:rFonts w:eastAsia="Calibri" w:cs="Times New Roman"/>
                <w:sz w:val="16"/>
                <w:szCs w:val="16"/>
              </w:rPr>
              <w:t xml:space="preserve">Planuje postępowanie diagnostyczne, terapeutyczne i profilaktyczne. </w:t>
            </w:r>
          </w:p>
        </w:tc>
        <w:tc>
          <w:tcPr>
            <w:tcW w:w="20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New Roman"/>
                <w:sz w:val="24"/>
                <w:szCs w:val="24"/>
              </w:rPr>
              <w:t xml:space="preserve">Egzamin końcowy </w:t>
            </w:r>
          </w:p>
        </w:tc>
        <w:tc>
          <w:tcPr>
            <w:tcW w:w="217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r>
              <w:rPr>
                <w:rFonts w:eastAsia="Calibri" w:cs="Times New Roman"/>
                <w:sz w:val="24"/>
                <w:szCs w:val="24"/>
              </w:rPr>
              <w:t>CK,CA</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jc w:val="both"/>
              <w:rPr>
                <w:rFonts w:eastAsia="Calibri" w:cs="Times New Roman"/>
                <w:sz w:val="18"/>
                <w:szCs w:val="18"/>
              </w:rPr>
            </w:pPr>
          </w:p>
          <w:p w:rsidR="000B0085" w:rsidRDefault="00E52318">
            <w:pPr>
              <w:spacing w:after="0"/>
              <w:jc w:val="both"/>
              <w:rPr>
                <w:rFonts w:eastAsia="Calibri" w:cs="Times New Roman"/>
                <w:sz w:val="18"/>
                <w:szCs w:val="18"/>
              </w:rPr>
            </w:pPr>
            <w:r>
              <w:rPr>
                <w:rFonts w:eastAsia="Calibri" w:cs="Times New Roman"/>
                <w:sz w:val="18"/>
                <w:szCs w:val="18"/>
              </w:rPr>
              <w:t xml:space="preserve">** WY - wykład; SE - seminarium; CA - ćwiczenia audytoryjne; CN - ćwiczenia kierunkowe (niekliniczne); </w:t>
            </w:r>
            <w:r>
              <w:rPr>
                <w:rFonts w:eastAsia="Calibri" w:cs="Times New Roman"/>
                <w:b/>
                <w:sz w:val="18"/>
                <w:szCs w:val="18"/>
              </w:rPr>
              <w:t>CK - ćwiczenia kliniczne</w:t>
            </w:r>
            <w:r>
              <w:rPr>
                <w:rFonts w:eastAsia="Calibri" w:cs="Times New Roman"/>
                <w:sz w:val="18"/>
                <w:szCs w:val="18"/>
              </w:rPr>
              <w:t xml:space="preserve">; CL -ćwiczenia laboratoryjne; CM – ćwiczenia specjalistyczne (mgr); CS - ćwiczenia w warunkach symulowanych; LE - lektoraty; </w:t>
            </w:r>
            <w:r>
              <w:rPr>
                <w:rFonts w:eastAsia="Calibri" w:cs="Times New Roman"/>
                <w:b/>
                <w:sz w:val="18"/>
                <w:szCs w:val="18"/>
              </w:rPr>
              <w:t>zajęcia praktyczne przy pacjencie - PP</w:t>
            </w:r>
            <w:r>
              <w:rPr>
                <w:rFonts w:eastAsia="Calibri" w:cs="Times New Roman"/>
                <w:sz w:val="18"/>
                <w:szCs w:val="18"/>
              </w:rPr>
              <w:t xml:space="preserve">; WF - zajęcia wychowania fizycznego (obowiązkowe); PZ- praktyki zawodowe; SK – samokształcenie, EL- E-learning. </w:t>
            </w:r>
          </w:p>
          <w:p w:rsidR="00303CAE" w:rsidRDefault="00303CAE">
            <w:pPr>
              <w:spacing w:after="0"/>
              <w:jc w:val="both"/>
              <w:rPr>
                <w:rFonts w:eastAsia="Calibri" w:cs="Times New Roman"/>
                <w:sz w:val="18"/>
                <w:szCs w:val="18"/>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CAE" w:rsidRDefault="00303CAE">
            <w:pPr>
              <w:spacing w:after="0"/>
              <w:rPr>
                <w:rFonts w:eastAsia="Calibri" w:cs="Times New Roman"/>
              </w:rPr>
            </w:pPr>
          </w:p>
          <w:p w:rsidR="000B0085" w:rsidRDefault="00E52318">
            <w:pPr>
              <w:spacing w:after="0"/>
            </w:pPr>
            <w:r>
              <w:rPr>
                <w:rFonts w:eastAsia="Calibri" w:cs="Times New Roman"/>
              </w:rPr>
              <w:t>Proszę ocenić w skali 1-5 jak powyższe efekty lokują państwa zajęcia w działach: przekaz wiedzy, umiejętności czy kształtowanie postaw:</w:t>
            </w:r>
          </w:p>
          <w:p w:rsidR="000B0085" w:rsidRDefault="00E52318">
            <w:pPr>
              <w:spacing w:after="0"/>
              <w:rPr>
                <w:rFonts w:eastAsia="Calibri" w:cs="Times New Roman"/>
              </w:rPr>
            </w:pPr>
            <w:r>
              <w:rPr>
                <w:rFonts w:eastAsia="Calibri" w:cs="Times New Roman"/>
              </w:rPr>
              <w:t>Wiedza: .…4</w:t>
            </w:r>
          </w:p>
          <w:p w:rsidR="00303CAE" w:rsidRDefault="00E52318">
            <w:pPr>
              <w:spacing w:after="0"/>
              <w:rPr>
                <w:rFonts w:eastAsia="Calibri" w:cs="Times New Roman"/>
              </w:rPr>
            </w:pPr>
            <w:r>
              <w:rPr>
                <w:rFonts w:eastAsia="Calibri" w:cs="Times New Roman"/>
              </w:rPr>
              <w:t>Umiejętności: ….5</w:t>
            </w:r>
          </w:p>
          <w:p w:rsidR="00303CAE" w:rsidRPr="00303CAE" w:rsidRDefault="00303CAE">
            <w:pPr>
              <w:spacing w:after="0"/>
              <w:rPr>
                <w:rFonts w:eastAsia="Calibri" w:cs="Times New Roman"/>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b/>
                <w:bCs/>
              </w:rPr>
              <w:t>Nakład pracy studenta (bilans punktów ECTS):</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w:b/>
                <w:bCs/>
              </w:rPr>
            </w:pPr>
            <w:r>
              <w:rPr>
                <w:rFonts w:eastAsia="Calibri" w:cs="Times"/>
                <w:b/>
                <w:bCs/>
              </w:rPr>
              <w:t>Forma nakładu pracy studenta</w:t>
            </w:r>
          </w:p>
          <w:p w:rsidR="000B0085" w:rsidRDefault="00E52318">
            <w:pPr>
              <w:spacing w:after="0"/>
              <w:rPr>
                <w:rFonts w:eastAsia="Calibri" w:cs="Times New Roman"/>
              </w:rPr>
            </w:pPr>
            <w:r>
              <w:rPr>
                <w:rFonts w:eastAsia="Calibri" w:cs="Times"/>
              </w:rPr>
              <w:t>(udział w zaj</w:t>
            </w:r>
            <w:r>
              <w:rPr>
                <w:rFonts w:eastAsia="TimesNewRoman" w:cs="TimesNewRoman"/>
              </w:rPr>
              <w:t>ę</w:t>
            </w:r>
            <w:r>
              <w:rPr>
                <w:rFonts w:eastAsia="Calibri" w:cs="Times"/>
              </w:rPr>
              <w:t>ciach, aktywno</w:t>
            </w:r>
            <w:r>
              <w:rPr>
                <w:rFonts w:eastAsia="TimesNewRoman" w:cs="TimesNewRoman"/>
              </w:rPr>
              <w:t>ść</w:t>
            </w:r>
            <w:r>
              <w:rPr>
                <w:rFonts w:eastAsia="Calibri" w:cs="Times"/>
              </w:rPr>
              <w:t>, przygotowanie itp.)</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b/>
                <w:bCs/>
              </w:rPr>
              <w:t>Obci</w:t>
            </w:r>
            <w:r>
              <w:rPr>
                <w:rFonts w:eastAsia="TimesNewRoman,Bold" w:cs="TimesNewRoman,Bold"/>
                <w:b/>
                <w:bCs/>
              </w:rPr>
              <w:t>ą</w:t>
            </w:r>
            <w:r>
              <w:rPr>
                <w:rFonts w:eastAsia="TimesNewRoman,Bold" w:cs="Times New Roman"/>
                <w:b/>
                <w:bCs/>
              </w:rPr>
              <w:t>ż</w:t>
            </w:r>
            <w:r>
              <w:rPr>
                <w:rFonts w:eastAsia="Calibri" w:cs="Times"/>
                <w:b/>
                <w:bCs/>
              </w:rPr>
              <w:t>enie studenta (h)</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rPr>
              <w:t>1. Godziny kontaktowe:</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Pr="00E52318" w:rsidRDefault="00E52318" w:rsidP="00E52318">
            <w:pPr>
              <w:spacing w:after="0"/>
              <w:jc w:val="center"/>
              <w:rPr>
                <w:rFonts w:eastAsia="Calibri" w:cs="Times New Roman"/>
              </w:rPr>
            </w:pPr>
            <w:r w:rsidRPr="00E52318">
              <w:rPr>
                <w:rFonts w:eastAsia="Calibri" w:cs="Times New Roman"/>
              </w:rPr>
              <w:t>120</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rPr>
              <w:t>2. Czas pracy własnej studenta (samokształcenie):</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A40EF5">
            <w:pPr>
              <w:spacing w:after="0"/>
              <w:jc w:val="center"/>
              <w:rPr>
                <w:rFonts w:eastAsia="Calibri" w:cs="Times New Roman"/>
              </w:rPr>
            </w:pPr>
            <w:r>
              <w:rPr>
                <w:rFonts w:eastAsia="Calibri" w:cs="Times New Roman"/>
              </w:rPr>
              <w:t>108</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rPr>
              <w:t>Sumaryczne obci</w:t>
            </w:r>
            <w:r>
              <w:rPr>
                <w:rFonts w:eastAsia="TimesNewRoman" w:cs="TimesNewRoman"/>
              </w:rPr>
              <w:t>ąż</w:t>
            </w:r>
            <w:r>
              <w:rPr>
                <w:rFonts w:eastAsia="Calibri" w:cs="Times"/>
              </w:rPr>
              <w:t>enie pracy studenta</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A40EF5">
            <w:pPr>
              <w:spacing w:after="0"/>
              <w:jc w:val="center"/>
              <w:rPr>
                <w:rFonts w:eastAsia="Calibri" w:cs="Times New Roman"/>
                <w:b/>
              </w:rPr>
            </w:pPr>
            <w:r>
              <w:rPr>
                <w:rFonts w:eastAsia="Calibri" w:cs="Times New Roman"/>
                <w:b/>
              </w:rPr>
              <w:t>228</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rPr>
            </w:pPr>
            <w:r>
              <w:rPr>
                <w:rFonts w:eastAsia="Calibri" w:cs="Times"/>
                <w:b/>
                <w:bCs/>
              </w:rPr>
              <w:t>Punkty ECTS za moduł/przedmiotu</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387231">
            <w:pPr>
              <w:spacing w:after="0"/>
              <w:jc w:val="center"/>
              <w:rPr>
                <w:rFonts w:eastAsia="Calibri" w:cs="Times New Roman"/>
                <w:b/>
              </w:rPr>
            </w:pPr>
            <w:r>
              <w:rPr>
                <w:rFonts w:eastAsia="Calibri" w:cs="Times New Roman"/>
                <w:b/>
              </w:rPr>
              <w:t>7</w:t>
            </w:r>
            <w:r w:rsidR="00E52318">
              <w:rPr>
                <w:rFonts w:eastAsia="Calibri" w:cs="Times New Roman"/>
                <w:b/>
              </w:rPr>
              <w:t>,50</w:t>
            </w:r>
          </w:p>
        </w:tc>
      </w:tr>
      <w:tr w:rsidR="000B0085" w:rsidTr="00303CAE">
        <w:tc>
          <w:tcPr>
            <w:tcW w:w="6726" w:type="dxa"/>
            <w:gridSpan w:val="2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24"/>
                <w:szCs w:val="24"/>
              </w:rPr>
            </w:pPr>
            <w:r>
              <w:rPr>
                <w:rFonts w:eastAsia="Calibri" w:cs="Times"/>
                <w:sz w:val="24"/>
                <w:szCs w:val="24"/>
              </w:rPr>
              <w:t>Uwagi</w:t>
            </w:r>
          </w:p>
        </w:tc>
        <w:tc>
          <w:tcPr>
            <w:tcW w:w="363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rPr>
                <w:rFonts w:eastAsia="Calibri" w:cs="Times New Roman"/>
                <w:sz w:val="24"/>
                <w:szCs w:val="24"/>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New Roman"/>
                <w:sz w:val="18"/>
                <w:szCs w:val="18"/>
              </w:rPr>
            </w:pPr>
            <w:r>
              <w:rPr>
                <w:rFonts w:eastAsia="Calibri" w:cs="Times New Roman"/>
                <w:b/>
                <w:bCs/>
                <w:sz w:val="24"/>
                <w:szCs w:val="24"/>
              </w:rPr>
              <w:lastRenderedPageBreak/>
              <w:t>Tre</w:t>
            </w:r>
            <w:r>
              <w:rPr>
                <w:rFonts w:eastAsia="TimesNewRoman,Bold" w:cs="Times New Roman"/>
                <w:b/>
                <w:bCs/>
                <w:sz w:val="24"/>
                <w:szCs w:val="24"/>
              </w:rPr>
              <w:t xml:space="preserve">ść </w:t>
            </w:r>
            <w:r>
              <w:rPr>
                <w:rFonts w:eastAsia="Calibri" w:cs="Times New Roman"/>
                <w:b/>
                <w:bCs/>
                <w:sz w:val="24"/>
                <w:szCs w:val="24"/>
              </w:rPr>
              <w:t>zaj</w:t>
            </w:r>
            <w:r>
              <w:rPr>
                <w:rFonts w:eastAsia="TimesNewRoman,Bold" w:cs="Times New Roman"/>
                <w:b/>
                <w:bCs/>
                <w:sz w:val="24"/>
                <w:szCs w:val="24"/>
              </w:rPr>
              <w:t>ęć</w:t>
            </w:r>
            <w:r>
              <w:rPr>
                <w:rFonts w:eastAsia="Calibri" w:cs="Times New Roman"/>
                <w:b/>
                <w:bCs/>
                <w:sz w:val="24"/>
                <w:szCs w:val="24"/>
              </w:rPr>
              <w:t xml:space="preserve">: </w:t>
            </w:r>
            <w:r>
              <w:rPr>
                <w:rFonts w:eastAsia="Calibri" w:cs="Times New Roman"/>
                <w:sz w:val="18"/>
                <w:szCs w:val="18"/>
              </w:rPr>
              <w:t>(prosz</w:t>
            </w:r>
            <w:r>
              <w:rPr>
                <w:rFonts w:eastAsia="TimesNewRoman" w:cs="Times New Roman"/>
                <w:sz w:val="18"/>
                <w:szCs w:val="18"/>
              </w:rPr>
              <w:t xml:space="preserve">ę </w:t>
            </w:r>
            <w:r>
              <w:rPr>
                <w:rFonts w:eastAsia="Calibri" w:cs="Times New Roman"/>
                <w:sz w:val="18"/>
                <w:szCs w:val="18"/>
              </w:rPr>
              <w:t>wpisa</w:t>
            </w:r>
            <w:r>
              <w:rPr>
                <w:rFonts w:eastAsia="TimesNewRoman" w:cs="Times New Roman"/>
                <w:sz w:val="18"/>
                <w:szCs w:val="18"/>
              </w:rPr>
              <w:t xml:space="preserve">ć </w:t>
            </w:r>
            <w:r>
              <w:rPr>
                <w:rFonts w:eastAsia="Calibri" w:cs="Times New Roman"/>
                <w:sz w:val="18"/>
                <w:szCs w:val="18"/>
              </w:rPr>
              <w:t>hasłowo tematyk</w:t>
            </w:r>
            <w:r>
              <w:rPr>
                <w:rFonts w:eastAsia="TimesNewRoman" w:cs="Times New Roman"/>
                <w:sz w:val="18"/>
                <w:szCs w:val="18"/>
              </w:rPr>
              <w:t xml:space="preserve">ę </w:t>
            </w:r>
            <w:r>
              <w:rPr>
                <w:rFonts w:eastAsia="Calibri" w:cs="Times New Roman"/>
                <w:sz w:val="18"/>
                <w:szCs w:val="18"/>
              </w:rPr>
              <w:t>poszczególnych zaj</w:t>
            </w:r>
            <w:r>
              <w:rPr>
                <w:rFonts w:eastAsia="TimesNewRoman" w:cs="Times New Roman"/>
                <w:sz w:val="18"/>
                <w:szCs w:val="18"/>
              </w:rPr>
              <w:t>ęć z podziałem na formę zajęć dydaktycznych</w:t>
            </w:r>
            <w:r>
              <w:rPr>
                <w:rFonts w:eastAsia="Calibri" w:cs="Times New Roman"/>
                <w:sz w:val="18"/>
                <w:szCs w:val="18"/>
              </w:rPr>
              <w:t>, pami</w:t>
            </w:r>
            <w:r>
              <w:rPr>
                <w:rFonts w:eastAsia="TimesNewRoman" w:cs="Times New Roman"/>
                <w:sz w:val="18"/>
                <w:szCs w:val="18"/>
              </w:rPr>
              <w:t>ę</w:t>
            </w:r>
            <w:r>
              <w:rPr>
                <w:rFonts w:eastAsia="Calibri" w:cs="Times New Roman"/>
                <w:sz w:val="18"/>
                <w:szCs w:val="18"/>
              </w:rPr>
              <w:t>taj</w:t>
            </w:r>
            <w:r>
              <w:rPr>
                <w:rFonts w:eastAsia="TimesNewRoman" w:cs="Times New Roman"/>
                <w:sz w:val="18"/>
                <w:szCs w:val="18"/>
              </w:rPr>
              <w:t>ą</w:t>
            </w:r>
            <w:r>
              <w:rPr>
                <w:rFonts w:eastAsia="Calibri" w:cs="Times New Roman"/>
                <w:sz w:val="18"/>
                <w:szCs w:val="18"/>
              </w:rPr>
              <w:t>c, aby przekładała si</w:t>
            </w:r>
            <w:r>
              <w:rPr>
                <w:rFonts w:eastAsia="TimesNewRoman" w:cs="Times New Roman"/>
                <w:sz w:val="18"/>
                <w:szCs w:val="18"/>
              </w:rPr>
              <w:t xml:space="preserve">ę </w:t>
            </w:r>
            <w:r>
              <w:rPr>
                <w:rFonts w:eastAsia="Calibri" w:cs="Times New Roman"/>
                <w:sz w:val="18"/>
                <w:szCs w:val="18"/>
              </w:rPr>
              <w:t>ona na zamierzone efekty kształcenia)</w:t>
            </w:r>
          </w:p>
          <w:p w:rsidR="000B0085" w:rsidRDefault="000B0085">
            <w:pPr>
              <w:spacing w:after="0"/>
              <w:rPr>
                <w:rFonts w:eastAsia="Calibri" w:cs="Times New Roman"/>
                <w:sz w:val="18"/>
                <w:szCs w:val="18"/>
              </w:rPr>
            </w:pPr>
          </w:p>
          <w:p w:rsidR="000B0085" w:rsidRDefault="00E52318">
            <w:pPr>
              <w:spacing w:after="0" w:line="240" w:lineRule="auto"/>
              <w:jc w:val="both"/>
            </w:pPr>
            <w:r>
              <w:rPr>
                <w:sz w:val="20"/>
                <w:szCs w:val="20"/>
                <w:u w:val="single"/>
              </w:rPr>
              <w:t>I Katedra i Klinika Pediatrii, Alergologii i Kardiologii</w:t>
            </w:r>
          </w:p>
          <w:p w:rsidR="000B0085" w:rsidRDefault="00E52318">
            <w:pPr>
              <w:spacing w:after="0" w:line="240" w:lineRule="auto"/>
              <w:jc w:val="both"/>
              <w:rPr>
                <w:sz w:val="20"/>
                <w:szCs w:val="20"/>
              </w:rPr>
            </w:pPr>
            <w:r>
              <w:rPr>
                <w:sz w:val="20"/>
                <w:szCs w:val="20"/>
              </w:rPr>
              <w:t xml:space="preserve">Zajęcia prowadzone są w obrębie Poradni Specjalistycznej, oddziałów Kliniki oraz w trakcie dyżurów popołudniowo-wieczornych. </w:t>
            </w:r>
            <w:r>
              <w:rPr>
                <w:bCs/>
                <w:sz w:val="20"/>
                <w:szCs w:val="20"/>
              </w:rPr>
              <w:t>Zajęcia prowadzone są przez Profesora, adiunktów i asystentów oraz doktorantki.</w:t>
            </w:r>
            <w:r>
              <w:rPr>
                <w:sz w:val="20"/>
                <w:szCs w:val="20"/>
              </w:rPr>
              <w:t xml:space="preserve"> Zajęcia prowadzone są w obrębie oddziału w trakcie dyżurów popołudniowo-wieczornych. W miarę możliwości student obejmuje samodzielną opiekę jednego lub kilku pacjentów, u których w trakcie kolejnych dyżurów proponuje badania dodatkowe oraz modyfikuje zastosowane leczenie na podstawie obserwacji własnych, analizuje szczegółowo stopień regresji lub progresji objawów chorobowych, wykonuje samodzielnie szereg prostych zabiegów diagnostyczno-terapeutycznych. Istotny nacisk w czasie zajęć w poradniach położony będzie na rozwinięciu umiejętności samodzielnego wyciągania wniosków oraz współpracy z lekarzem rodzinnym podstawowej opieki zdrowotnej. Istotnym elementem ćwiczeń będzie zapoznanie ich uczestników z obowiązującą oraz z istniejącym stanem prawnym obligującym świadczeniodawcę do określonych form i zakresu udzielanych świadczeń zdrowotnych.</w:t>
            </w:r>
          </w:p>
          <w:p w:rsidR="000B0085" w:rsidRDefault="000B0085">
            <w:pPr>
              <w:spacing w:after="0" w:line="240" w:lineRule="auto"/>
              <w:jc w:val="both"/>
              <w:rPr>
                <w:sz w:val="20"/>
                <w:szCs w:val="20"/>
              </w:rPr>
            </w:pPr>
          </w:p>
          <w:p w:rsidR="000B0085" w:rsidRDefault="00E52318">
            <w:pPr>
              <w:spacing w:after="0" w:line="240" w:lineRule="auto"/>
              <w:jc w:val="both"/>
            </w:pPr>
            <w:r>
              <w:rPr>
                <w:b/>
                <w:sz w:val="20"/>
                <w:szCs w:val="20"/>
                <w:u w:val="single"/>
              </w:rPr>
              <w:t>I</w:t>
            </w:r>
            <w:r>
              <w:rPr>
                <w:sz w:val="20"/>
                <w:szCs w:val="20"/>
                <w:u w:val="single"/>
              </w:rPr>
              <w:t>I Katedra i Klinika Pediatrii, Gastroenterologii i Żywienia</w:t>
            </w:r>
          </w:p>
          <w:p w:rsidR="000B0085" w:rsidRDefault="00E52318">
            <w:pPr>
              <w:spacing w:after="0" w:line="240" w:lineRule="auto"/>
              <w:jc w:val="both"/>
              <w:rPr>
                <w:sz w:val="20"/>
                <w:szCs w:val="20"/>
              </w:rPr>
            </w:pPr>
            <w:r>
              <w:rPr>
                <w:sz w:val="20"/>
                <w:szCs w:val="20"/>
              </w:rPr>
              <w:t xml:space="preserve">Zajęcia prowadzone są w obrębie Poradni Specjalistycznej, oddziałów Kliniki oraz w trakcie dyżurów popołudniowo-wieczornych. W miarę możliwości student obejmuje samodzielną opiekę jednego lub kilku pacjentów, u których w trakcie kolejnych dyżurów proponuje badania dodatkowe oraz modyfikuje zastosowane leczenie na podstawie obserwacji własnych, analizuje szczegółowo stopień regresji lub progresji objawów chorobowych, wykonuje samodzielnie szereg prostych zabiegów diagnostyczno-terapeutycznych z zakresu pediatrii oraz gastroenterologii dziecięcej. Szczególny nacisk zostanie położony na zasady racjonalnego żywienia niemowląt oraz dzieci. Zajęcia w poradni będą służyły rozwijaniu umiejętności samodzielnego wyciągania wniosków oraz współpracy z lekarzem rodzinnym podstawowej opieki zdrowotnej. Ważnym elementem ćwiczeń będzie zapoznanie ich uczestników z obowiązującą oraz z istniejącym stanem prawnym obligującym świadczeniodawcę do określonych form i zakresu udzielanych świadczeń zdrowotnych. </w:t>
            </w:r>
          </w:p>
          <w:p w:rsidR="000B0085" w:rsidRDefault="000B0085">
            <w:pPr>
              <w:spacing w:after="0" w:line="240" w:lineRule="auto"/>
              <w:jc w:val="both"/>
              <w:rPr>
                <w:sz w:val="20"/>
                <w:szCs w:val="20"/>
              </w:rPr>
            </w:pPr>
          </w:p>
          <w:p w:rsidR="000B0085" w:rsidRDefault="00E52318">
            <w:pPr>
              <w:spacing w:after="0" w:line="240" w:lineRule="auto"/>
              <w:jc w:val="both"/>
            </w:pPr>
            <w:r>
              <w:rPr>
                <w:bCs/>
                <w:sz w:val="20"/>
                <w:szCs w:val="20"/>
                <w:u w:val="single"/>
              </w:rPr>
              <w:t>Katedra i Klinika Endokrynologii i Diabetologii Wieku Rozwojowego</w:t>
            </w:r>
          </w:p>
          <w:p w:rsidR="000B0085" w:rsidRDefault="00E52318">
            <w:pPr>
              <w:spacing w:after="0" w:line="240" w:lineRule="auto"/>
              <w:jc w:val="both"/>
              <w:rPr>
                <w:bCs/>
                <w:sz w:val="20"/>
                <w:szCs w:val="20"/>
              </w:rPr>
            </w:pPr>
            <w:r>
              <w:rPr>
                <w:sz w:val="20"/>
                <w:szCs w:val="20"/>
              </w:rPr>
              <w:t xml:space="preserve">Zajęcia prowadzone są w obrębie Poradni Specjalistycznej, oddziałów Kliniki oraz w trakcie dyżurów popołudniowo-wieczornych. </w:t>
            </w:r>
            <w:r>
              <w:rPr>
                <w:bCs/>
                <w:sz w:val="20"/>
                <w:szCs w:val="20"/>
              </w:rPr>
              <w:t xml:space="preserve">Zajęcia prowadzone są przez Profesora, adiunktów i asystentów oraz doktorantkę Zadaniem prowadzących jest zaznajomienie studentów ze schorzeniami endokrynologicznymi,. Pacjenci zaangażowani pochodzą z oddziałów kliniki jak również z Poradni przyklinicznych. W trakcie zajęć zostaną omówione objawy chorób endokrynologicznych, diagnostyka oraz ich leczenie. Studenci zapoznają się z dokumentacją, zaplanują badania i je zinterpretują. Zostaną zaprezentowane osobiste pompy insulinowe, peny, </w:t>
            </w:r>
            <w:proofErr w:type="spellStart"/>
            <w:r>
              <w:rPr>
                <w:bCs/>
                <w:sz w:val="20"/>
                <w:szCs w:val="20"/>
              </w:rPr>
              <w:t>glukometry</w:t>
            </w:r>
            <w:proofErr w:type="spellEnd"/>
            <w:r>
              <w:rPr>
                <w:bCs/>
                <w:sz w:val="20"/>
                <w:szCs w:val="20"/>
              </w:rPr>
              <w:t xml:space="preserve"> oraz system ciągłego monitorowania glukozy jak również  system pomiarów glukozy  typu </w:t>
            </w:r>
            <w:proofErr w:type="spellStart"/>
            <w:r>
              <w:rPr>
                <w:bCs/>
                <w:sz w:val="20"/>
                <w:szCs w:val="20"/>
              </w:rPr>
              <w:t>skan</w:t>
            </w:r>
            <w:proofErr w:type="spellEnd"/>
            <w:r>
              <w:rPr>
                <w:bCs/>
                <w:sz w:val="20"/>
                <w:szCs w:val="20"/>
              </w:rPr>
              <w:t xml:space="preserve"> – „ Libra”. Każdy student wykona oznaczenie poziomu glukozy, zmierzy i zważy dziecko, oceni parametry  życiowe. Studenci zostaną wdrożeni w metody terapii schorzeń endokrynologicznych  Podczas dyżurów będą uczestniczyć wspólnie z lekarzem we wszystkich procedurach administracyjnych oraz medycznych. Student musi zebrać wywiad, zbadać pacjenta, ocenić stan zdrowia i zaplanować badania diagnostyczne i leczenie. Podczas zajęć zostanie położony  nacisk na samodzielność w zakresie  diagnozowania i leczenia. </w:t>
            </w:r>
          </w:p>
          <w:p w:rsidR="00CC24AA" w:rsidRDefault="00CC24AA">
            <w:pPr>
              <w:spacing w:after="0" w:line="240" w:lineRule="auto"/>
              <w:jc w:val="both"/>
              <w:rPr>
                <w:bCs/>
                <w:sz w:val="20"/>
                <w:szCs w:val="20"/>
              </w:rPr>
            </w:pPr>
          </w:p>
          <w:p w:rsidR="000B0085" w:rsidRDefault="00E52318">
            <w:pPr>
              <w:spacing w:after="0" w:line="240" w:lineRule="auto"/>
              <w:jc w:val="both"/>
            </w:pPr>
            <w:r>
              <w:rPr>
                <w:bCs/>
                <w:sz w:val="20"/>
                <w:szCs w:val="20"/>
                <w:u w:val="single"/>
              </w:rPr>
              <w:t>Katedra i Klinika Transplantacji Szpiku, Onkologii i Hematologii</w:t>
            </w:r>
          </w:p>
          <w:p w:rsidR="000B0085" w:rsidRDefault="00E52318">
            <w:pPr>
              <w:spacing w:after="0" w:line="240" w:lineRule="auto"/>
              <w:jc w:val="both"/>
              <w:rPr>
                <w:sz w:val="20"/>
                <w:szCs w:val="20"/>
              </w:rPr>
            </w:pPr>
            <w:r>
              <w:rPr>
                <w:sz w:val="20"/>
                <w:szCs w:val="20"/>
              </w:rPr>
              <w:t xml:space="preserve">Zajęcia prowadzone są w ramach Poradni Konsultacyjnej oraz w obrębie oddziałów podczas dyżurów lekarskich przez profesorów, adiunktów i asystentów Kliniki Transplantacji Szpiku, Onkologii i Hematologii Dziecięcej. Podstawowym celem zajęć jest zaznajomienie studentów z najczęstszymi problemami hematologii i onkologii dziecięcej  budzącymi wątpliwości w ramach opieki POZ oraz nauczenie wykonywania badania klinicznego pozwalającego na wstępną selekcję, diagnostykę  i różnicowanie powiększonych węzłów chłonnych, zmian w jamie brzusznej, objawów skaz krwotocznych, niedokrwistości i objawów neurologicznych. Kształcenie studentów będzie także obejmowało znajomość epidemiologii nowotworów i chorób układu krwiotwórczego u dzieci z uwzględnieniem zagrożeń środowiskowych, omówienie objawów oraz schematów diagnostycznych i terapeutycznych w  </w:t>
            </w:r>
            <w:proofErr w:type="spellStart"/>
            <w:r>
              <w:rPr>
                <w:sz w:val="20"/>
                <w:szCs w:val="20"/>
              </w:rPr>
              <w:t>onko-hematologii</w:t>
            </w:r>
            <w:proofErr w:type="spellEnd"/>
            <w:r>
              <w:rPr>
                <w:sz w:val="20"/>
                <w:szCs w:val="20"/>
              </w:rPr>
              <w:t xml:space="preserve"> dziecięcej, a także leczenia wspomagającego i następstw współczesnej terapii przeciwnowotworowej. Zostaną przedstawione procedury wykonywania punkcji szpiku, punkcji lędźwiowych oraz obsługi cewników naczyniowych. Studenci będą przeprowadzać badanie przedmiotowe u pacjentów, będą brać udział w interpretacji badań obrazowych oraz laboratoryjnych (m.in. w przygotowywaniu i interpretacji rozmazów krwi obwodowej i szpiku). Istotnym elementem będzie także zapoznanie studentów z obowiązującą dokumentacją oraz stanem prawnym. </w:t>
            </w:r>
          </w:p>
          <w:p w:rsidR="000B0085" w:rsidRDefault="000B0085">
            <w:pPr>
              <w:spacing w:after="0" w:line="240" w:lineRule="auto"/>
              <w:jc w:val="both"/>
              <w:rPr>
                <w:sz w:val="20"/>
                <w:szCs w:val="20"/>
              </w:rPr>
            </w:pPr>
          </w:p>
          <w:p w:rsidR="000B0085" w:rsidRDefault="00E52318">
            <w:pPr>
              <w:spacing w:after="0" w:line="240" w:lineRule="auto"/>
              <w:jc w:val="both"/>
            </w:pPr>
            <w:r>
              <w:rPr>
                <w:bCs/>
                <w:sz w:val="20"/>
                <w:szCs w:val="20"/>
                <w:u w:val="single"/>
              </w:rPr>
              <w:t>Katedra i Klinika Nefrologii Pediatrycznej</w:t>
            </w:r>
          </w:p>
          <w:p w:rsidR="000B0085" w:rsidRDefault="00E52318">
            <w:pPr>
              <w:spacing w:after="0"/>
              <w:jc w:val="both"/>
              <w:rPr>
                <w:sz w:val="20"/>
                <w:szCs w:val="20"/>
              </w:rPr>
            </w:pPr>
            <w:r>
              <w:rPr>
                <w:sz w:val="20"/>
                <w:szCs w:val="20"/>
              </w:rPr>
              <w:t xml:space="preserve">Zajęcia prowadzone są przez profesorów, adiunktów i asystentów Kliniki Nefrologii Pediatrycznej w obrębie Poradni Specjalistycznych oraz w obrębie oddziałów w trakcie dyżurów popołudniowo-wieczornych. W miarę możliwości student obejmuje opieką pod nadzorem lekarza prowadzącego ćwiczenia jednego pacjenta, u których w trakcie kolejnych dyżurów </w:t>
            </w:r>
            <w:r>
              <w:rPr>
                <w:sz w:val="20"/>
                <w:szCs w:val="20"/>
              </w:rPr>
              <w:lastRenderedPageBreak/>
              <w:t>proponuje badania dodatkowe oraz modyfikuje zastosowane leczenie na podstawie obserwacji własnych, analizuje szczegółowo stopień regresji lub progresji objawów chorobowych, wykonuje samodzielnie szereg prostych zabiegów diagnostyczno-terapeutycznych. Istotny nacisk w czasie zajęć w poradniach położony będzie na rozwinięciu umiejętności samodzielnego wyciągania wniosków oraz współpracy z lekarzem rodzinnym podstawowej opieki zdrowotnej. Istotnym elementem ćwiczeń będzie zapoznanie ich uczestników z obowiązującą dokumentacją oraz z istniejącym stanem prawnym obligującym świadczeniodawcę do określonych form i zakresu udzielanych świadczeń zdrowotnych.</w:t>
            </w:r>
          </w:p>
          <w:p w:rsidR="000B0085" w:rsidRDefault="000B0085">
            <w:pPr>
              <w:spacing w:after="0"/>
              <w:rPr>
                <w:rFonts w:eastAsia="Calibri" w:cs="Times New Roman"/>
                <w:sz w:val="20"/>
                <w:szCs w:val="20"/>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0B0085">
            <w:pPr>
              <w:spacing w:after="0"/>
              <w:rPr>
                <w:rFonts w:eastAsia="Calibri" w:cs="Times"/>
                <w:b/>
              </w:rPr>
            </w:pPr>
          </w:p>
          <w:p w:rsidR="000B0085" w:rsidRDefault="00E52318">
            <w:pPr>
              <w:spacing w:after="0"/>
              <w:rPr>
                <w:rFonts w:eastAsia="Calibri" w:cs="Times"/>
                <w:b/>
              </w:rPr>
            </w:pPr>
            <w:r>
              <w:rPr>
                <w:rFonts w:eastAsia="Calibri" w:cs="Times"/>
                <w:b/>
              </w:rPr>
              <w:t>Ćwiczenia</w:t>
            </w:r>
          </w:p>
          <w:p w:rsidR="000B0085" w:rsidRDefault="000B0085">
            <w:pPr>
              <w:spacing w:after="0" w:line="240" w:lineRule="auto"/>
              <w:rPr>
                <w:sz w:val="20"/>
                <w:szCs w:val="20"/>
                <w:u w:val="single"/>
              </w:rPr>
            </w:pPr>
          </w:p>
          <w:p w:rsidR="000B0085" w:rsidRDefault="00E52318">
            <w:pPr>
              <w:spacing w:after="0" w:line="240" w:lineRule="auto"/>
              <w:rPr>
                <w:sz w:val="20"/>
                <w:szCs w:val="20"/>
                <w:u w:val="single"/>
              </w:rPr>
            </w:pPr>
            <w:r>
              <w:rPr>
                <w:sz w:val="20"/>
                <w:szCs w:val="20"/>
                <w:u w:val="single"/>
              </w:rPr>
              <w:t>I Katedra i Klinika Pediatrii, Alergologii i Kardiologii</w:t>
            </w:r>
          </w:p>
          <w:p w:rsidR="000B0085" w:rsidRDefault="00E52318">
            <w:pPr>
              <w:spacing w:after="0" w:line="240" w:lineRule="auto"/>
            </w:pPr>
            <w:r>
              <w:rPr>
                <w:sz w:val="20"/>
                <w:szCs w:val="20"/>
              </w:rPr>
              <w:t>1. Omówienie procedur diagnostycznych w pacjentów w Poradni Alergologicznej</w:t>
            </w:r>
          </w:p>
          <w:p w:rsidR="000B0085" w:rsidRDefault="00E52318">
            <w:pPr>
              <w:spacing w:after="0" w:line="240" w:lineRule="auto"/>
            </w:pPr>
            <w:r>
              <w:rPr>
                <w:rFonts w:cs="Times"/>
                <w:sz w:val="20"/>
                <w:szCs w:val="20"/>
              </w:rPr>
              <w:t>2. Sposób prowadzenia dokumentacji medycznej w lecznictwie otwartym w Poradni Alergologicznej</w:t>
            </w:r>
          </w:p>
          <w:p w:rsidR="000B0085" w:rsidRDefault="00E52318">
            <w:pPr>
              <w:spacing w:after="0" w:line="240" w:lineRule="auto"/>
            </w:pPr>
            <w:r>
              <w:rPr>
                <w:rFonts w:cs="Times"/>
                <w:sz w:val="20"/>
                <w:szCs w:val="20"/>
              </w:rPr>
              <w:t>3. Prowadzenie terapii specjalistycznej w lecznictwie ambulatoryjnym.</w:t>
            </w:r>
          </w:p>
          <w:p w:rsidR="000B0085" w:rsidRDefault="00E52318">
            <w:pPr>
              <w:spacing w:after="0" w:line="240" w:lineRule="auto"/>
            </w:pPr>
            <w:r>
              <w:rPr>
                <w:rFonts w:cs="Times"/>
                <w:sz w:val="20"/>
                <w:szCs w:val="20"/>
              </w:rPr>
              <w:t>4. Leczenie astmy wg wytycznych GINA.</w:t>
            </w:r>
          </w:p>
          <w:p w:rsidR="000B0085" w:rsidRDefault="00E52318">
            <w:pPr>
              <w:spacing w:after="0" w:line="240" w:lineRule="auto"/>
            </w:pPr>
            <w:r>
              <w:rPr>
                <w:rFonts w:cs="Times"/>
                <w:sz w:val="20"/>
                <w:szCs w:val="20"/>
              </w:rPr>
              <w:t>5. Bezpieczeństwo immunoterapii swoistej.</w:t>
            </w:r>
          </w:p>
          <w:p w:rsidR="000B0085" w:rsidRDefault="00E52318">
            <w:pPr>
              <w:spacing w:after="0" w:line="240" w:lineRule="auto"/>
            </w:pPr>
            <w:r>
              <w:rPr>
                <w:rFonts w:cs="Times"/>
                <w:sz w:val="20"/>
                <w:szCs w:val="20"/>
              </w:rPr>
              <w:t>6. Genetyka schorzeń atopowych.</w:t>
            </w:r>
          </w:p>
          <w:p w:rsidR="000B0085" w:rsidRDefault="00E52318">
            <w:pPr>
              <w:spacing w:after="0" w:line="240" w:lineRule="auto"/>
              <w:rPr>
                <w:rFonts w:cs="Times"/>
                <w:sz w:val="20"/>
                <w:szCs w:val="20"/>
              </w:rPr>
            </w:pPr>
            <w:r>
              <w:rPr>
                <w:rFonts w:cs="Times"/>
                <w:sz w:val="20"/>
                <w:szCs w:val="20"/>
              </w:rPr>
              <w:t>7. Diagnostyka ostrych i przewlekłych chorób układu oddechowego (Spirometria, pomiar NO, Oscylometria impulsowa).</w:t>
            </w:r>
          </w:p>
          <w:p w:rsidR="000B0085" w:rsidRDefault="000B0085">
            <w:pPr>
              <w:spacing w:after="0" w:line="240" w:lineRule="auto"/>
              <w:rPr>
                <w:rFonts w:cs="Times"/>
                <w:sz w:val="20"/>
                <w:szCs w:val="20"/>
              </w:rPr>
            </w:pPr>
          </w:p>
          <w:p w:rsidR="000B0085" w:rsidRDefault="00E52318">
            <w:pPr>
              <w:spacing w:after="0" w:line="240" w:lineRule="auto"/>
              <w:rPr>
                <w:bCs/>
                <w:sz w:val="20"/>
                <w:szCs w:val="20"/>
                <w:u w:val="single"/>
              </w:rPr>
            </w:pPr>
            <w:r>
              <w:rPr>
                <w:bCs/>
                <w:sz w:val="20"/>
                <w:szCs w:val="20"/>
                <w:u w:val="single"/>
              </w:rPr>
              <w:t>II Katedra i Klinika Pediatrii, Gastroenterologii i Żywienia</w:t>
            </w:r>
          </w:p>
          <w:p w:rsidR="000B0085" w:rsidRDefault="00E52318">
            <w:pPr>
              <w:spacing w:after="0" w:line="240" w:lineRule="auto"/>
            </w:pPr>
            <w:r>
              <w:rPr>
                <w:bCs/>
                <w:sz w:val="20"/>
                <w:szCs w:val="20"/>
              </w:rPr>
              <w:t>1. Diagnostyka różnicowa objawów z przewodu pokarmowego u dzieci z uwzględnieniem wieku dziecka, związanych pierwotnie z najczęściej występującymi chorobami układu pokarmowego i zaburzeniami czynnościowymi przewodu pokarmowego z uwzględnieniem postępowania diagnostyczno-terapeutycznego.</w:t>
            </w:r>
          </w:p>
          <w:p w:rsidR="000B0085" w:rsidRDefault="00E52318">
            <w:pPr>
              <w:spacing w:after="0" w:line="240" w:lineRule="auto"/>
            </w:pPr>
            <w:r>
              <w:rPr>
                <w:bCs/>
                <w:sz w:val="20"/>
                <w:szCs w:val="20"/>
              </w:rPr>
              <w:t>2. Prezentacje a następnie omówienie w formie dyskusji, z aktywnym udziałem studentów konkretnych sytuacji klinicznych, etapów postępowania w oparciu o aktualne algorytmy diagnostyczno-terapeutyczne.</w:t>
            </w:r>
          </w:p>
          <w:p w:rsidR="000B0085" w:rsidRDefault="00E52318">
            <w:pPr>
              <w:spacing w:after="0" w:line="240" w:lineRule="auto"/>
            </w:pPr>
            <w:r>
              <w:rPr>
                <w:bCs/>
                <w:sz w:val="20"/>
                <w:szCs w:val="20"/>
              </w:rPr>
              <w:t>3. Przedstawienie nowości z gastroenterologii dziecięcej przydatnych w codziennej pracy lekarza podstawowej opieki zdrowotnej.</w:t>
            </w:r>
          </w:p>
          <w:p w:rsidR="000B0085" w:rsidRDefault="00E52318">
            <w:pPr>
              <w:spacing w:after="0" w:line="240" w:lineRule="auto"/>
            </w:pPr>
            <w:r>
              <w:rPr>
                <w:bCs/>
                <w:sz w:val="20"/>
                <w:szCs w:val="20"/>
              </w:rPr>
              <w:t>4. W oparciu o dane z wywiadu, badanie przedmiotowe, ocenę rozwoju dziecka, analizę zgłaszanych objawów/odchyleń/objawów alarmowych, ustalenie kolejności postępowania w dochodzeniu do rozpoznania i leczenia.</w:t>
            </w:r>
          </w:p>
          <w:p w:rsidR="000B0085" w:rsidRDefault="00E52318">
            <w:pPr>
              <w:spacing w:after="0" w:line="240" w:lineRule="auto"/>
            </w:pPr>
            <w:r>
              <w:rPr>
                <w:bCs/>
                <w:sz w:val="20"/>
                <w:szCs w:val="20"/>
              </w:rPr>
              <w:t>5. Algorytmy postępowania diagnostyczno-terapeutycznego w chorobach układu pokarmowego u dzieci, wskazania do leczenia szpitalnego.</w:t>
            </w:r>
          </w:p>
          <w:p w:rsidR="000B0085" w:rsidRDefault="00E52318">
            <w:pPr>
              <w:spacing w:after="0" w:line="240" w:lineRule="auto"/>
              <w:rPr>
                <w:bCs/>
                <w:sz w:val="20"/>
                <w:szCs w:val="20"/>
              </w:rPr>
            </w:pPr>
            <w:r>
              <w:rPr>
                <w:bCs/>
                <w:sz w:val="20"/>
                <w:szCs w:val="20"/>
              </w:rPr>
              <w:t>6. Zaburzenia karmienia rola lekarza w ustaleniu właściwego sposobu postępowania.</w:t>
            </w:r>
          </w:p>
          <w:p w:rsidR="00CC24AA" w:rsidRDefault="00CC24AA">
            <w:pPr>
              <w:spacing w:after="0" w:line="240" w:lineRule="auto"/>
              <w:rPr>
                <w:bCs/>
                <w:sz w:val="20"/>
                <w:szCs w:val="20"/>
              </w:rPr>
            </w:pPr>
          </w:p>
          <w:p w:rsidR="000B0085" w:rsidRDefault="00E52318">
            <w:pPr>
              <w:spacing w:after="0" w:line="240" w:lineRule="auto"/>
              <w:rPr>
                <w:bCs/>
                <w:sz w:val="20"/>
                <w:szCs w:val="20"/>
                <w:u w:val="single"/>
              </w:rPr>
            </w:pPr>
            <w:r>
              <w:rPr>
                <w:bCs/>
                <w:sz w:val="20"/>
                <w:szCs w:val="20"/>
                <w:u w:val="single"/>
              </w:rPr>
              <w:t>Katedra i Klinika Endokrynologii i Diabetologii Wieku Rozwojowego</w:t>
            </w:r>
          </w:p>
          <w:p w:rsidR="000B0085" w:rsidRDefault="000B0085">
            <w:pPr>
              <w:spacing w:after="0" w:line="240" w:lineRule="auto"/>
              <w:rPr>
                <w:bCs/>
                <w:sz w:val="20"/>
                <w:szCs w:val="20"/>
                <w:u w:val="single"/>
              </w:rPr>
            </w:pPr>
          </w:p>
          <w:p w:rsidR="000B0085" w:rsidRDefault="00E52318">
            <w:pPr>
              <w:spacing w:after="0" w:line="240" w:lineRule="auto"/>
              <w:rPr>
                <w:bCs/>
                <w:sz w:val="20"/>
                <w:szCs w:val="20"/>
              </w:rPr>
            </w:pPr>
            <w:r>
              <w:rPr>
                <w:b/>
                <w:bCs/>
                <w:sz w:val="20"/>
                <w:szCs w:val="20"/>
              </w:rPr>
              <w:t>1.Cukrzyca</w:t>
            </w:r>
            <w:r>
              <w:rPr>
                <w:bCs/>
                <w:sz w:val="20"/>
                <w:szCs w:val="20"/>
              </w:rPr>
              <w:t xml:space="preserve"> - Współczesne metody terapii cukrzycy typu 1 – intensywna terapia przy użyciu penów, pompy osobistej. Monitorowanie glikemii metodą 24 godzinnego pomiaru urządzeniem Guardian i CGMS – omówienie nowości w leczeniu i monitorowaniu cukrzycy.</w:t>
            </w:r>
          </w:p>
          <w:p w:rsidR="000B0085" w:rsidRDefault="00E52318">
            <w:pPr>
              <w:spacing w:after="0" w:line="240" w:lineRule="auto"/>
              <w:rPr>
                <w:bCs/>
                <w:sz w:val="20"/>
                <w:szCs w:val="20"/>
              </w:rPr>
            </w:pPr>
            <w:r>
              <w:rPr>
                <w:bCs/>
                <w:sz w:val="20"/>
                <w:szCs w:val="20"/>
              </w:rPr>
              <w:t xml:space="preserve">Pompa zamknięta, pompa insulinowa połączona z systemem  ciągłego monitorowania glikemii </w:t>
            </w:r>
          </w:p>
          <w:p w:rsidR="000B0085" w:rsidRDefault="00E52318">
            <w:pPr>
              <w:spacing w:after="0" w:line="240" w:lineRule="auto"/>
            </w:pPr>
            <w:r>
              <w:rPr>
                <w:bCs/>
                <w:sz w:val="20"/>
                <w:szCs w:val="20"/>
              </w:rPr>
              <w:t xml:space="preserve"> zajęcia praktyczne – z programowania pomp, programowanie urządzeń do pomiaru glikemii- CGM + Libra . Interpretacja wyników badań glikemii  w oparciu o programy komputerowe. – demonstracja wyników badań dzieci. Udział w szkoleniu dziecka oraz rodzica z zakresu samoleczenia i samokontroli. Omówienie żywienia dziecka z cukrzyca. Omówienie  zasad żywienia w oparciu o WW i WBT  Indeks </w:t>
            </w:r>
            <w:proofErr w:type="spellStart"/>
            <w:r>
              <w:rPr>
                <w:bCs/>
                <w:sz w:val="20"/>
                <w:szCs w:val="20"/>
              </w:rPr>
              <w:t>glikemiczny</w:t>
            </w:r>
            <w:proofErr w:type="spellEnd"/>
            <w:r>
              <w:rPr>
                <w:bCs/>
                <w:sz w:val="20"/>
                <w:szCs w:val="20"/>
              </w:rPr>
              <w:t xml:space="preserve"> i ładunek </w:t>
            </w:r>
            <w:proofErr w:type="spellStart"/>
            <w:r>
              <w:rPr>
                <w:bCs/>
                <w:sz w:val="20"/>
                <w:szCs w:val="20"/>
              </w:rPr>
              <w:t>glikemiczny</w:t>
            </w:r>
            <w:proofErr w:type="spellEnd"/>
            <w:r>
              <w:rPr>
                <w:bCs/>
                <w:sz w:val="20"/>
                <w:szCs w:val="20"/>
              </w:rPr>
              <w:t xml:space="preserve">. Ustalanie żywienia dziecku. Omówienie zasad samokontroli, demonstracja programów komputerowych do odczytania wyników badań poziomów glukozy. Omówienie zasad  ustalania dawek insuliny na WW i WBT oraz dawek korekcyjnych. Obliczanie IR oraz zapotrzebowania insuliny na WW i WBT. Omówienie wyników  oraz interpretacja  wyniku badania HbA1c.  </w:t>
            </w:r>
          </w:p>
          <w:p w:rsidR="000B0085" w:rsidRDefault="00E52318">
            <w:pPr>
              <w:spacing w:after="0" w:line="240" w:lineRule="auto"/>
            </w:pPr>
            <w:r>
              <w:rPr>
                <w:b/>
                <w:bCs/>
                <w:sz w:val="20"/>
                <w:szCs w:val="20"/>
              </w:rPr>
              <w:t>2.Zaburzenia dojrzewania płciowego</w:t>
            </w:r>
            <w:r>
              <w:rPr>
                <w:bCs/>
                <w:sz w:val="20"/>
                <w:szCs w:val="20"/>
              </w:rPr>
              <w:t xml:space="preserve"> – opóźnione oraz przedwczesne dojrzewanie płciowe. Interpretacja przypadków klinicznych, wspólne zbieranie wywiadu, planowanie badań oraz monitorowanie leczenia. </w:t>
            </w:r>
          </w:p>
          <w:p w:rsidR="000B0085" w:rsidRDefault="00E52318">
            <w:pPr>
              <w:spacing w:after="0" w:line="240" w:lineRule="auto"/>
            </w:pPr>
            <w:r>
              <w:rPr>
                <w:b/>
                <w:bCs/>
                <w:sz w:val="20"/>
                <w:szCs w:val="20"/>
              </w:rPr>
              <w:t>3. Niedobór wzrostu oraz wzrost olbrzymi</w:t>
            </w:r>
            <w:r>
              <w:rPr>
                <w:bCs/>
                <w:sz w:val="20"/>
                <w:szCs w:val="20"/>
              </w:rPr>
              <w:t xml:space="preserve"> – diagnostyka różnicowa, omówienie przyczyn niedoboru wzrostu, niedobór wzrostu pochodzenia rodzinnego, karłowatość pierwotna. zajęcia praktyczne – wywiad, obliczanie prognozy wzrostu ostatecznego, odchylenia standardowego, oraz tempa wzrastania, planowanie badań, analiza wyników badań, obliczanie dawki hormonu wzrostu konkretnemu pacjentowi, ocena wyników leczenia- obliczanie tempa wzrastania i wykreślanie wyników badań na  indywidualnej  siatce centylowej, monitorowanie przebiegu leczenia. Interpretacja wyników badań GH w testach  oraz innych obowiązkowych badań koniecznych do wystawienia wniosku o przyznanie GH</w:t>
            </w:r>
          </w:p>
          <w:p w:rsidR="000B0085" w:rsidRDefault="00E52318">
            <w:pPr>
              <w:spacing w:after="0" w:line="240" w:lineRule="auto"/>
              <w:rPr>
                <w:bCs/>
                <w:sz w:val="20"/>
                <w:szCs w:val="20"/>
              </w:rPr>
            </w:pPr>
            <w:r>
              <w:rPr>
                <w:b/>
                <w:bCs/>
                <w:sz w:val="20"/>
                <w:szCs w:val="20"/>
              </w:rPr>
              <w:t>4. Otyłość i anoreksja</w:t>
            </w:r>
            <w:r>
              <w:rPr>
                <w:bCs/>
                <w:sz w:val="20"/>
                <w:szCs w:val="20"/>
              </w:rPr>
              <w:t xml:space="preserve">. Zajęcia praktyczne – demonstracja własnych przypadków. Omówienie zasad żywienia, oraz sposoby redukcji masy ciała. Prezentacja komputerowa przygotowania posiłków o zredukowanej liczbie kalorii. Omówienie znaczenia IG oraz ŁG w leczeniu  otyłości. .Badania składu ciała  metodą impedancji. Zlecenie  wyników badań oraz ich interpretacja. </w:t>
            </w:r>
            <w:r>
              <w:rPr>
                <w:bCs/>
                <w:sz w:val="20"/>
                <w:szCs w:val="20"/>
              </w:rPr>
              <w:lastRenderedPageBreak/>
              <w:t xml:space="preserve">Ustalanie normy zalecanego wysiłku fizycznego  dziecku oraz omówienie jego znaczenia w leczeniu otyłości. </w:t>
            </w:r>
          </w:p>
          <w:p w:rsidR="000B0085" w:rsidRDefault="00E52318">
            <w:pPr>
              <w:spacing w:after="0" w:line="240" w:lineRule="auto"/>
            </w:pPr>
            <w:r>
              <w:rPr>
                <w:bCs/>
                <w:sz w:val="20"/>
                <w:szCs w:val="20"/>
              </w:rPr>
              <w:t>Ocena  niedoboru masy ciała. Ustalania żywienia dziecku z niedoborem masy ciała oraz ocena  skuteczności stosowanych zaleceń u dzieci z niedoborem masy ciała. Interpretacja wyników badań.</w:t>
            </w:r>
          </w:p>
          <w:p w:rsidR="000B0085" w:rsidRDefault="00E52318">
            <w:pPr>
              <w:spacing w:after="0" w:line="240" w:lineRule="auto"/>
            </w:pPr>
            <w:r>
              <w:rPr>
                <w:b/>
                <w:bCs/>
                <w:sz w:val="20"/>
                <w:szCs w:val="20"/>
              </w:rPr>
              <w:t xml:space="preserve">5. Choroby tarczycy </w:t>
            </w:r>
            <w:r>
              <w:rPr>
                <w:bCs/>
                <w:sz w:val="20"/>
                <w:szCs w:val="20"/>
              </w:rPr>
              <w:t xml:space="preserve">– omówienie zasad wykonywania badań przesiewowych, wskazania do wykonywania badań kontrolnych oraz ich interpretacja. Demonstracja dzieci leczonych z powodu chorób tarczycy( WNT,  SNT, </w:t>
            </w:r>
            <w:proofErr w:type="spellStart"/>
            <w:r>
              <w:rPr>
                <w:bCs/>
                <w:sz w:val="20"/>
                <w:szCs w:val="20"/>
              </w:rPr>
              <w:t>ch</w:t>
            </w:r>
            <w:proofErr w:type="spellEnd"/>
            <w:r>
              <w:rPr>
                <w:bCs/>
                <w:sz w:val="20"/>
                <w:szCs w:val="20"/>
              </w:rPr>
              <w:t xml:space="preserve">. Hashimoto, Gravesa Basedowa, chorób nowotworowych).  Ustalanie dawek leków oraz interpretacja wyników badań kontrolnych. </w:t>
            </w:r>
          </w:p>
          <w:p w:rsidR="000B0085" w:rsidRDefault="00E52318">
            <w:pPr>
              <w:spacing w:after="0" w:line="240" w:lineRule="auto"/>
              <w:rPr>
                <w:bCs/>
                <w:sz w:val="20"/>
                <w:szCs w:val="20"/>
              </w:rPr>
            </w:pPr>
            <w:r>
              <w:rPr>
                <w:b/>
                <w:bCs/>
                <w:sz w:val="20"/>
                <w:szCs w:val="20"/>
              </w:rPr>
              <w:t>6. Zespoły genetycznie uwarunkowane</w:t>
            </w:r>
            <w:r>
              <w:rPr>
                <w:bCs/>
                <w:sz w:val="20"/>
                <w:szCs w:val="20"/>
              </w:rPr>
              <w:t xml:space="preserve">. Omówienie zaburzeń endokrynologicznych u dzieci z zespołem Turnera, </w:t>
            </w:r>
            <w:proofErr w:type="spellStart"/>
            <w:r>
              <w:rPr>
                <w:bCs/>
                <w:sz w:val="20"/>
                <w:szCs w:val="20"/>
              </w:rPr>
              <w:t>Willego-–Pradera</w:t>
            </w:r>
            <w:proofErr w:type="spellEnd"/>
            <w:r>
              <w:rPr>
                <w:bCs/>
                <w:sz w:val="20"/>
                <w:szCs w:val="20"/>
              </w:rPr>
              <w:t>, Downa i innych. Omówienie  zasad diagnostyki oraz leczenia endokrynologicznego..</w:t>
            </w:r>
          </w:p>
          <w:p w:rsidR="000B0085" w:rsidRDefault="000B0085">
            <w:pPr>
              <w:spacing w:after="0" w:line="240" w:lineRule="auto"/>
              <w:rPr>
                <w:bCs/>
                <w:sz w:val="20"/>
                <w:szCs w:val="20"/>
              </w:rPr>
            </w:pPr>
          </w:p>
          <w:p w:rsidR="000B0085" w:rsidRDefault="00E52318">
            <w:pPr>
              <w:spacing w:after="0" w:line="240" w:lineRule="auto"/>
            </w:pPr>
            <w:r>
              <w:rPr>
                <w:bCs/>
                <w:sz w:val="20"/>
                <w:szCs w:val="20"/>
                <w:u w:val="single"/>
              </w:rPr>
              <w:t>Katedra i Klinika Transplantacji Szpiku, Onkologii i Hematologii</w:t>
            </w:r>
          </w:p>
          <w:p w:rsidR="000B0085" w:rsidRDefault="00E52318">
            <w:pPr>
              <w:spacing w:after="0" w:line="240" w:lineRule="auto"/>
            </w:pPr>
            <w:r>
              <w:rPr>
                <w:bCs/>
                <w:sz w:val="20"/>
                <w:szCs w:val="20"/>
              </w:rPr>
              <w:t xml:space="preserve">1. Epidemiologia nowotworów i chorób układu krwiotwórczego u dzieci i młodzieży. </w:t>
            </w:r>
          </w:p>
          <w:p w:rsidR="000B0085" w:rsidRDefault="00E52318">
            <w:pPr>
              <w:spacing w:after="0" w:line="240" w:lineRule="auto"/>
            </w:pPr>
            <w:r>
              <w:rPr>
                <w:bCs/>
                <w:sz w:val="20"/>
                <w:szCs w:val="20"/>
              </w:rPr>
              <w:t>2. Zasady chemioterapii i terapii wspomagającej w onkologii dziecięcej.</w:t>
            </w:r>
          </w:p>
          <w:p w:rsidR="000B0085" w:rsidRDefault="00E52318">
            <w:pPr>
              <w:spacing w:after="0" w:line="240" w:lineRule="auto"/>
            </w:pPr>
            <w:r>
              <w:rPr>
                <w:bCs/>
                <w:sz w:val="20"/>
                <w:szCs w:val="20"/>
              </w:rPr>
              <w:t xml:space="preserve">3. Omówienie stanów nagłych w onkologii dziecięcej. </w:t>
            </w:r>
          </w:p>
          <w:p w:rsidR="000B0085" w:rsidRDefault="00E52318">
            <w:pPr>
              <w:spacing w:after="0" w:line="240" w:lineRule="auto"/>
            </w:pPr>
            <w:r>
              <w:rPr>
                <w:bCs/>
                <w:sz w:val="20"/>
                <w:szCs w:val="20"/>
              </w:rPr>
              <w:t>4. Postęp w leczeniu chorób nowotworowych i chorób układu krwiotwórczego u dzieci.</w:t>
            </w:r>
          </w:p>
          <w:p w:rsidR="000B0085" w:rsidRDefault="00E52318">
            <w:pPr>
              <w:spacing w:after="0" w:line="240" w:lineRule="auto"/>
            </w:pPr>
            <w:r>
              <w:rPr>
                <w:bCs/>
                <w:sz w:val="20"/>
                <w:szCs w:val="20"/>
              </w:rPr>
              <w:t>5. Zasady leczenia skojarzonego nowotworów</w:t>
            </w:r>
          </w:p>
          <w:p w:rsidR="000B0085" w:rsidRDefault="00E52318">
            <w:pPr>
              <w:spacing w:after="0" w:line="240" w:lineRule="auto"/>
            </w:pPr>
            <w:r>
              <w:rPr>
                <w:bCs/>
                <w:sz w:val="20"/>
                <w:szCs w:val="20"/>
              </w:rPr>
              <w:t>6. Opieka paliatywna i zasady leczenia bólu u dziecka z chorobą nowotworową.</w:t>
            </w:r>
          </w:p>
          <w:p w:rsidR="000B0085" w:rsidRDefault="00E52318">
            <w:pPr>
              <w:spacing w:after="0" w:line="240" w:lineRule="auto"/>
            </w:pPr>
            <w:r>
              <w:rPr>
                <w:bCs/>
                <w:sz w:val="20"/>
                <w:szCs w:val="20"/>
              </w:rPr>
              <w:t>7. Odległe następstwa leczenia przeciwnowotworowego oraz schemat opieki nad pacjentem po zakończonym leczeniu onkologicznym.</w:t>
            </w:r>
          </w:p>
          <w:p w:rsidR="000B0085" w:rsidRPr="00CC24AA" w:rsidRDefault="00E52318">
            <w:pPr>
              <w:spacing w:after="0" w:line="240" w:lineRule="auto"/>
              <w:rPr>
                <w:bCs/>
                <w:sz w:val="20"/>
                <w:szCs w:val="20"/>
              </w:rPr>
            </w:pPr>
            <w:r>
              <w:rPr>
                <w:bCs/>
                <w:sz w:val="20"/>
                <w:szCs w:val="20"/>
              </w:rPr>
              <w:t>8. Opieka nad dzieckiem z choroba hematologiczną w POZ.</w:t>
            </w:r>
          </w:p>
          <w:p w:rsidR="000B0085" w:rsidRDefault="00E52318">
            <w:pPr>
              <w:spacing w:after="0" w:line="240" w:lineRule="auto"/>
            </w:pPr>
            <w:r>
              <w:rPr>
                <w:bCs/>
                <w:sz w:val="20"/>
                <w:szCs w:val="20"/>
                <w:u w:val="single"/>
              </w:rPr>
              <w:t>Katedra i Klinika Nefrologii Pediatrycznej</w:t>
            </w:r>
          </w:p>
          <w:p w:rsidR="000B0085" w:rsidRDefault="00E52318">
            <w:pPr>
              <w:spacing w:after="0" w:line="240" w:lineRule="auto"/>
            </w:pPr>
            <w:r>
              <w:rPr>
                <w:bCs/>
                <w:sz w:val="20"/>
                <w:szCs w:val="20"/>
              </w:rPr>
              <w:t xml:space="preserve">1. </w:t>
            </w:r>
            <w:r>
              <w:rPr>
                <w:sz w:val="20"/>
                <w:szCs w:val="20"/>
              </w:rPr>
              <w:t>Interpretacja podstawowych wyników badań dodatkowych w zakresie układu  moczowo-płciowego u dzieci.</w:t>
            </w:r>
          </w:p>
          <w:p w:rsidR="000B0085" w:rsidRDefault="00E52318">
            <w:pPr>
              <w:spacing w:after="0" w:line="240" w:lineRule="auto"/>
            </w:pPr>
            <w:r>
              <w:rPr>
                <w:sz w:val="20"/>
                <w:szCs w:val="20"/>
              </w:rPr>
              <w:t>2. Omówienie zaleceń i prezentacja przypadków dzieci z wadami układu moczowego oraz z podejrzeniem/rozpoznaniem nadciśnienia tętniczego.</w:t>
            </w:r>
          </w:p>
          <w:p w:rsidR="000B0085" w:rsidRDefault="00E52318">
            <w:pPr>
              <w:spacing w:after="0" w:line="240" w:lineRule="auto"/>
            </w:pPr>
            <w:r>
              <w:rPr>
                <w:sz w:val="20"/>
                <w:szCs w:val="20"/>
              </w:rPr>
              <w:t>3. Algorytm postępowania diagnostyczno-terapeutycznego w zakażeniach układu moczowego, leczenie ambulatoryjne, wskazania do leczenia szpitalnego.</w:t>
            </w:r>
          </w:p>
          <w:p w:rsidR="000B0085" w:rsidRDefault="00E52318">
            <w:pPr>
              <w:spacing w:after="0" w:line="240" w:lineRule="auto"/>
            </w:pPr>
            <w:r>
              <w:rPr>
                <w:sz w:val="20"/>
                <w:szCs w:val="20"/>
              </w:rPr>
              <w:t>4. Omówienie zaleceń i prezentacja przypadków klinicznych dziecka moczącego się w nocy oraz dziecka z zespołem nerczycowym.</w:t>
            </w:r>
          </w:p>
          <w:p w:rsidR="000B0085" w:rsidRDefault="00E52318">
            <w:pPr>
              <w:spacing w:after="0" w:line="240" w:lineRule="auto"/>
            </w:pPr>
            <w:r>
              <w:rPr>
                <w:sz w:val="20"/>
                <w:szCs w:val="20"/>
              </w:rPr>
              <w:t>5. Postępowanie z dzieckiem z rozpoznaną przewlekłą chorobą nerek, postępowanie w lecznictwie ambulatoryjnym, leczenia szpitalne.</w:t>
            </w:r>
          </w:p>
          <w:p w:rsidR="000B0085" w:rsidRDefault="00E52318">
            <w:pPr>
              <w:spacing w:after="0" w:line="240" w:lineRule="auto"/>
            </w:pPr>
            <w:r>
              <w:rPr>
                <w:sz w:val="20"/>
                <w:szCs w:val="20"/>
              </w:rPr>
              <w:t xml:space="preserve">6. Nowości w diagnostyce i terapii w zakresie nefrologii dziecięcej. Postępowanie przydatne w codziennej praktyce lekarza podstawowej opieki medycznej. </w:t>
            </w:r>
          </w:p>
          <w:p w:rsidR="000B0085" w:rsidRDefault="00E52318">
            <w:pPr>
              <w:spacing w:after="0" w:line="240" w:lineRule="auto"/>
            </w:pPr>
            <w:r>
              <w:rPr>
                <w:sz w:val="20"/>
                <w:szCs w:val="20"/>
              </w:rPr>
              <w:t>7. Prezentacje wybranych przypadków z aktywnym udziałem studentów poprzez dyskusję oraz propozycje studentów w zakresie postępowania diagnostycznego i terapeutycznego.</w:t>
            </w:r>
          </w:p>
          <w:p w:rsidR="000B0085" w:rsidRDefault="00E52318">
            <w:pPr>
              <w:spacing w:after="0" w:line="240" w:lineRule="auto"/>
              <w:rPr>
                <w:sz w:val="20"/>
                <w:szCs w:val="20"/>
              </w:rPr>
            </w:pPr>
            <w:r>
              <w:rPr>
                <w:sz w:val="20"/>
                <w:szCs w:val="20"/>
              </w:rPr>
              <w:t xml:space="preserve">8. Diagnostyka różnicowa wybranych objawów z zakresu układu moczowo-płciowego z uwzględnieniem wieku dziecka ( algorytm postępowania w przypadku wielomoczu, </w:t>
            </w:r>
            <w:proofErr w:type="spellStart"/>
            <w:r>
              <w:rPr>
                <w:sz w:val="20"/>
                <w:szCs w:val="20"/>
              </w:rPr>
              <w:t>krwinkomoczu</w:t>
            </w:r>
            <w:proofErr w:type="spellEnd"/>
            <w:r>
              <w:rPr>
                <w:sz w:val="20"/>
                <w:szCs w:val="20"/>
              </w:rPr>
              <w:t>, białkomoczu)</w:t>
            </w:r>
          </w:p>
          <w:p w:rsidR="000B0085" w:rsidRDefault="000B0085">
            <w:pPr>
              <w:spacing w:after="0"/>
              <w:rPr>
                <w:rFonts w:eastAsia="Calibri" w:cs="Times New Roman"/>
                <w:b/>
                <w:bCs/>
              </w:rPr>
            </w:pP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pPr>
            <w:r>
              <w:rPr>
                <w:rFonts w:eastAsia="Calibri" w:cs="Times"/>
                <w:b/>
                <w:bCs/>
              </w:rPr>
              <w:lastRenderedPageBreak/>
              <w:t xml:space="preserve">Literatura podstawowa: </w:t>
            </w:r>
            <w:r>
              <w:rPr>
                <w:rFonts w:eastAsia="Calibri" w:cs="Times"/>
                <w:bCs/>
              </w:rPr>
              <w:t>(wymienić wg istotności, nie więcej niż 3 pozycje)</w:t>
            </w:r>
          </w:p>
          <w:p w:rsidR="000B0085" w:rsidRDefault="00E52318">
            <w:pPr>
              <w:spacing w:after="0"/>
              <w:rPr>
                <w:rFonts w:eastAsia="Calibri" w:cs="Times"/>
                <w:bCs/>
                <w:sz w:val="20"/>
                <w:szCs w:val="20"/>
              </w:rPr>
            </w:pPr>
            <w:r>
              <w:rPr>
                <w:rFonts w:eastAsia="Calibri" w:cs="Times"/>
                <w:bCs/>
                <w:sz w:val="20"/>
                <w:szCs w:val="20"/>
              </w:rPr>
              <w:t>1. Pediatria. T. 1-2. Wanda Kawalec, Ryszard Grenda, Helena Ziółkowska, Warszawa, Wydawnictwo lekarskie PZWL 2013</w:t>
            </w:r>
          </w:p>
          <w:p w:rsidR="000B0085" w:rsidRDefault="00E52318">
            <w:pPr>
              <w:spacing w:after="0"/>
              <w:rPr>
                <w:rFonts w:eastAsia="Calibri" w:cs="Times"/>
                <w:bCs/>
                <w:sz w:val="20"/>
                <w:szCs w:val="20"/>
              </w:rPr>
            </w:pPr>
            <w:r>
              <w:rPr>
                <w:rFonts w:eastAsia="Calibri" w:cs="Times"/>
                <w:bCs/>
                <w:sz w:val="20"/>
                <w:szCs w:val="20"/>
              </w:rPr>
              <w:t xml:space="preserve">2. Pediatria. Tom </w:t>
            </w:r>
            <w:proofErr w:type="spellStart"/>
            <w:r>
              <w:rPr>
                <w:rFonts w:eastAsia="Calibri" w:cs="Times"/>
                <w:bCs/>
                <w:sz w:val="20"/>
                <w:szCs w:val="20"/>
              </w:rPr>
              <w:t>Lissauer</w:t>
            </w:r>
            <w:proofErr w:type="spellEnd"/>
            <w:r>
              <w:rPr>
                <w:rFonts w:eastAsia="Calibri" w:cs="Times"/>
                <w:bCs/>
                <w:sz w:val="20"/>
                <w:szCs w:val="20"/>
              </w:rPr>
              <w:t xml:space="preserve">, Graham </w:t>
            </w:r>
            <w:proofErr w:type="spellStart"/>
            <w:r>
              <w:rPr>
                <w:rFonts w:eastAsia="Calibri" w:cs="Times"/>
                <w:bCs/>
                <w:sz w:val="20"/>
                <w:szCs w:val="20"/>
              </w:rPr>
              <w:t>Clayden</w:t>
            </w:r>
            <w:proofErr w:type="spellEnd"/>
            <w:r>
              <w:rPr>
                <w:rFonts w:eastAsia="Calibri" w:cs="Times"/>
                <w:bCs/>
                <w:sz w:val="20"/>
                <w:szCs w:val="20"/>
              </w:rPr>
              <w:t xml:space="preserve">, [współautor\ </w:t>
            </w:r>
            <w:proofErr w:type="spellStart"/>
            <w:r>
              <w:rPr>
                <w:rFonts w:eastAsia="Calibri" w:cs="Times"/>
                <w:bCs/>
                <w:sz w:val="20"/>
                <w:szCs w:val="20"/>
              </w:rPr>
              <w:t>Aruna</w:t>
            </w:r>
            <w:proofErr w:type="spellEnd"/>
            <w:r>
              <w:rPr>
                <w:rFonts w:eastAsia="Calibri" w:cs="Times"/>
                <w:bCs/>
                <w:sz w:val="20"/>
                <w:szCs w:val="20"/>
              </w:rPr>
              <w:t xml:space="preserve"> </w:t>
            </w:r>
            <w:proofErr w:type="spellStart"/>
            <w:r>
              <w:rPr>
                <w:rFonts w:eastAsia="Calibri" w:cs="Times"/>
                <w:bCs/>
                <w:sz w:val="20"/>
                <w:szCs w:val="20"/>
              </w:rPr>
              <w:t>Abhyankar</w:t>
            </w:r>
            <w:proofErr w:type="spellEnd"/>
            <w:r>
              <w:rPr>
                <w:rFonts w:eastAsia="Calibri" w:cs="Times"/>
                <w:bCs/>
                <w:sz w:val="20"/>
                <w:szCs w:val="20"/>
              </w:rPr>
              <w:t xml:space="preserve"> i inni; [red. wyd. Pol] Andrzej Milanowski – wydanie 2, Wrocław, </w:t>
            </w:r>
            <w:proofErr w:type="spellStart"/>
            <w:r>
              <w:rPr>
                <w:rFonts w:eastAsia="Calibri" w:cs="Times"/>
                <w:bCs/>
                <w:sz w:val="20"/>
                <w:szCs w:val="20"/>
              </w:rPr>
              <w:t>Elsevier</w:t>
            </w:r>
            <w:proofErr w:type="spellEnd"/>
            <w:r>
              <w:rPr>
                <w:rFonts w:eastAsia="Calibri" w:cs="Times"/>
                <w:bCs/>
                <w:sz w:val="20"/>
                <w:szCs w:val="20"/>
              </w:rPr>
              <w:t xml:space="preserve"> Urban &amp; Partner, 2013</w:t>
            </w:r>
          </w:p>
          <w:p w:rsidR="000B0085" w:rsidRDefault="00E52318">
            <w:pPr>
              <w:spacing w:after="0"/>
              <w:rPr>
                <w:rFonts w:eastAsia="Calibri" w:cs="Times"/>
                <w:bCs/>
                <w:sz w:val="20"/>
                <w:szCs w:val="20"/>
              </w:rPr>
            </w:pPr>
            <w:r>
              <w:rPr>
                <w:rFonts w:eastAsia="Calibri" w:cs="Times"/>
                <w:bCs/>
                <w:sz w:val="20"/>
                <w:szCs w:val="20"/>
              </w:rPr>
              <w:t xml:space="preserve">3. Pediatria. Podręcznik do Lekarskiego Egzaminu Końcowego i Państwowego Egzaminu Specjalistycznego. Anna Dobrzańska, Józef </w:t>
            </w:r>
            <w:proofErr w:type="spellStart"/>
            <w:r>
              <w:rPr>
                <w:rFonts w:eastAsia="Calibri" w:cs="Times"/>
                <w:bCs/>
                <w:sz w:val="20"/>
                <w:szCs w:val="20"/>
              </w:rPr>
              <w:t>Ryżko</w:t>
            </w:r>
            <w:proofErr w:type="spellEnd"/>
            <w:r>
              <w:rPr>
                <w:rFonts w:eastAsia="Calibri" w:cs="Times"/>
                <w:bCs/>
                <w:sz w:val="20"/>
                <w:szCs w:val="20"/>
              </w:rPr>
              <w:t xml:space="preserve"> [współautor] Maciej Kaczmarski i inni – wydanie 2, Wrocław, </w:t>
            </w:r>
            <w:proofErr w:type="spellStart"/>
            <w:r>
              <w:rPr>
                <w:rFonts w:eastAsia="Calibri" w:cs="Times"/>
                <w:bCs/>
                <w:sz w:val="20"/>
                <w:szCs w:val="20"/>
              </w:rPr>
              <w:t>Elsevier</w:t>
            </w:r>
            <w:proofErr w:type="spellEnd"/>
            <w:r>
              <w:rPr>
                <w:rFonts w:eastAsia="Calibri" w:cs="Times"/>
                <w:bCs/>
                <w:sz w:val="20"/>
                <w:szCs w:val="20"/>
              </w:rPr>
              <w:t xml:space="preserve"> Urban &amp; Partner, 2014</w:t>
            </w:r>
          </w:p>
          <w:p w:rsidR="000B0085" w:rsidRDefault="000B0085">
            <w:pPr>
              <w:spacing w:after="0"/>
              <w:rPr>
                <w:rFonts w:eastAsia="Calibri" w:cs="Times"/>
                <w:bCs/>
                <w:sz w:val="20"/>
                <w:szCs w:val="20"/>
              </w:rPr>
            </w:pPr>
          </w:p>
          <w:p w:rsidR="000B0085" w:rsidRDefault="00E52318">
            <w:pPr>
              <w:spacing w:after="0"/>
              <w:rPr>
                <w:rFonts w:eastAsia="Calibri" w:cs="Times"/>
                <w:b/>
                <w:bCs/>
                <w:sz w:val="20"/>
                <w:szCs w:val="20"/>
              </w:rPr>
            </w:pPr>
            <w:r>
              <w:rPr>
                <w:rFonts w:eastAsia="Calibri" w:cs="Times"/>
                <w:b/>
                <w:bCs/>
                <w:sz w:val="20"/>
                <w:szCs w:val="20"/>
              </w:rPr>
              <w:t>Czasopisma obowiązkowe:</w:t>
            </w:r>
          </w:p>
          <w:p w:rsidR="000B0085" w:rsidRDefault="00E52318">
            <w:pPr>
              <w:spacing w:after="0"/>
              <w:rPr>
                <w:rFonts w:eastAsia="Calibri" w:cs="Times"/>
                <w:bCs/>
                <w:sz w:val="20"/>
                <w:szCs w:val="20"/>
              </w:rPr>
            </w:pPr>
            <w:r>
              <w:rPr>
                <w:rFonts w:eastAsia="Calibri" w:cs="Times"/>
                <w:bCs/>
                <w:sz w:val="20"/>
                <w:szCs w:val="20"/>
              </w:rPr>
              <w:t>1. Pediatria Polska</w:t>
            </w:r>
          </w:p>
          <w:p w:rsidR="000B0085" w:rsidRDefault="00E52318">
            <w:pPr>
              <w:spacing w:after="0"/>
              <w:rPr>
                <w:rFonts w:eastAsia="Calibri" w:cs="Times"/>
                <w:bCs/>
                <w:sz w:val="20"/>
                <w:szCs w:val="20"/>
              </w:rPr>
            </w:pPr>
            <w:r>
              <w:rPr>
                <w:rFonts w:eastAsia="Calibri" w:cs="Times"/>
                <w:bCs/>
                <w:sz w:val="20"/>
                <w:szCs w:val="20"/>
              </w:rPr>
              <w:t>2. Przegląd pediatryczny</w:t>
            </w:r>
          </w:p>
          <w:p w:rsidR="000B0085" w:rsidRDefault="000B0085">
            <w:pPr>
              <w:spacing w:after="0"/>
              <w:rPr>
                <w:rFonts w:eastAsia="Calibri" w:cs="Times"/>
                <w:bCs/>
                <w:sz w:val="20"/>
                <w:szCs w:val="20"/>
              </w:rPr>
            </w:pPr>
          </w:p>
          <w:p w:rsidR="000B0085" w:rsidRDefault="00E52318">
            <w:pPr>
              <w:spacing w:after="0"/>
              <w:rPr>
                <w:rFonts w:eastAsia="Calibri" w:cs="Times"/>
                <w:bCs/>
              </w:rPr>
            </w:pPr>
            <w:r>
              <w:rPr>
                <w:rFonts w:eastAsia="Calibri" w:cs="Times"/>
                <w:b/>
                <w:bCs/>
              </w:rPr>
              <w:t>Literatura uzupełniaj</w:t>
            </w:r>
            <w:r>
              <w:rPr>
                <w:rFonts w:eastAsia="TimesNewRoman,Bold" w:cs="TimesNewRoman,Bold"/>
                <w:b/>
                <w:bCs/>
              </w:rPr>
              <w:t>ą</w:t>
            </w:r>
            <w:r>
              <w:rPr>
                <w:rFonts w:eastAsia="Calibri" w:cs="Times"/>
                <w:b/>
                <w:bCs/>
              </w:rPr>
              <w:t xml:space="preserve">ca i inne pomoce: </w:t>
            </w:r>
            <w:r>
              <w:rPr>
                <w:rFonts w:eastAsia="Calibri" w:cs="Times"/>
                <w:bCs/>
              </w:rPr>
              <w:t>(nie więcej niż 3 pozycje)</w:t>
            </w:r>
          </w:p>
          <w:p w:rsidR="000B0085" w:rsidRDefault="00E52318">
            <w:pPr>
              <w:spacing w:after="0"/>
              <w:rPr>
                <w:rFonts w:eastAsia="Calibri" w:cs="Times"/>
                <w:bCs/>
                <w:sz w:val="20"/>
                <w:szCs w:val="20"/>
              </w:rPr>
            </w:pPr>
            <w:r>
              <w:rPr>
                <w:rFonts w:eastAsia="Calibri" w:cs="Times"/>
                <w:bCs/>
                <w:sz w:val="20"/>
                <w:szCs w:val="20"/>
                <w:lang w:val="en-GB"/>
              </w:rPr>
              <w:t xml:space="preserve">1. Nelson </w:t>
            </w:r>
            <w:proofErr w:type="spellStart"/>
            <w:r>
              <w:rPr>
                <w:rFonts w:eastAsia="Calibri" w:cs="Times"/>
                <w:bCs/>
                <w:sz w:val="20"/>
                <w:szCs w:val="20"/>
                <w:lang w:val="en-GB"/>
              </w:rPr>
              <w:t>Pediatria</w:t>
            </w:r>
            <w:proofErr w:type="spellEnd"/>
            <w:r>
              <w:rPr>
                <w:rFonts w:eastAsia="Calibri" w:cs="Times"/>
                <w:bCs/>
                <w:sz w:val="20"/>
                <w:szCs w:val="20"/>
                <w:lang w:val="en-GB"/>
              </w:rPr>
              <w:t xml:space="preserve"> – Tom 1-2. </w:t>
            </w:r>
            <w:r>
              <w:rPr>
                <w:rFonts w:eastAsia="Calibri" w:cs="Times"/>
                <w:bCs/>
                <w:sz w:val="20"/>
                <w:szCs w:val="20"/>
                <w:lang w:val="en-US"/>
              </w:rPr>
              <w:t xml:space="preserve">Karen </w:t>
            </w:r>
            <w:proofErr w:type="spellStart"/>
            <w:r>
              <w:rPr>
                <w:rFonts w:eastAsia="Calibri" w:cs="Times"/>
                <w:bCs/>
                <w:sz w:val="20"/>
                <w:szCs w:val="20"/>
                <w:lang w:val="en-US"/>
              </w:rPr>
              <w:t>Marcdante</w:t>
            </w:r>
            <w:proofErr w:type="spellEnd"/>
            <w:r>
              <w:rPr>
                <w:rFonts w:eastAsia="Calibri" w:cs="Times"/>
                <w:bCs/>
                <w:sz w:val="20"/>
                <w:szCs w:val="20"/>
                <w:lang w:val="en-US"/>
              </w:rPr>
              <w:t xml:space="preserve">, Robert M </w:t>
            </w:r>
            <w:proofErr w:type="spellStart"/>
            <w:r>
              <w:rPr>
                <w:rFonts w:eastAsia="Calibri" w:cs="Times"/>
                <w:bCs/>
                <w:sz w:val="20"/>
                <w:szCs w:val="20"/>
                <w:lang w:val="en-US"/>
              </w:rPr>
              <w:t>Kliegman</w:t>
            </w:r>
            <w:proofErr w:type="spellEnd"/>
            <w:r>
              <w:rPr>
                <w:rFonts w:eastAsia="Calibri" w:cs="Times"/>
                <w:bCs/>
                <w:sz w:val="20"/>
                <w:szCs w:val="20"/>
                <w:lang w:val="en-US"/>
              </w:rPr>
              <w:t xml:space="preserve">, Hal B. Jenson, Richard E. Behrman; [red. </w:t>
            </w:r>
            <w:proofErr w:type="spellStart"/>
            <w:r>
              <w:rPr>
                <w:rFonts w:eastAsia="Calibri" w:cs="Times"/>
                <w:bCs/>
                <w:sz w:val="20"/>
                <w:szCs w:val="20"/>
                <w:lang w:val="en-US"/>
              </w:rPr>
              <w:t>wyd</w:t>
            </w:r>
            <w:proofErr w:type="spellEnd"/>
            <w:r>
              <w:rPr>
                <w:rFonts w:eastAsia="Calibri" w:cs="Times"/>
                <w:bCs/>
                <w:sz w:val="20"/>
                <w:szCs w:val="20"/>
                <w:lang w:val="en-US"/>
              </w:rPr>
              <w:t xml:space="preserve">. pol.] </w:t>
            </w:r>
            <w:r>
              <w:rPr>
                <w:rFonts w:eastAsia="Calibri" w:cs="Times"/>
                <w:bCs/>
                <w:sz w:val="20"/>
                <w:szCs w:val="20"/>
              </w:rPr>
              <w:t xml:space="preserve">Andrzej Milanowski – wydanie 2, Wrocław, </w:t>
            </w:r>
            <w:proofErr w:type="spellStart"/>
            <w:r>
              <w:rPr>
                <w:rFonts w:eastAsia="Calibri" w:cs="Times"/>
                <w:bCs/>
                <w:sz w:val="20"/>
                <w:szCs w:val="20"/>
              </w:rPr>
              <w:t>Elsevier</w:t>
            </w:r>
            <w:proofErr w:type="spellEnd"/>
            <w:r>
              <w:rPr>
                <w:rFonts w:eastAsia="Calibri" w:cs="Times"/>
                <w:bCs/>
                <w:sz w:val="20"/>
                <w:szCs w:val="20"/>
              </w:rPr>
              <w:t xml:space="preserve"> </w:t>
            </w:r>
            <w:proofErr w:type="spellStart"/>
            <w:r>
              <w:rPr>
                <w:rFonts w:eastAsia="Calibri" w:cs="Times"/>
                <w:bCs/>
                <w:sz w:val="20"/>
                <w:szCs w:val="20"/>
              </w:rPr>
              <w:t>Urban&amp;Partner</w:t>
            </w:r>
            <w:proofErr w:type="spellEnd"/>
            <w:r>
              <w:rPr>
                <w:rFonts w:eastAsia="Calibri" w:cs="Times"/>
                <w:bCs/>
                <w:sz w:val="20"/>
                <w:szCs w:val="20"/>
              </w:rPr>
              <w:t>, 2013</w:t>
            </w:r>
          </w:p>
          <w:p w:rsidR="000B0085" w:rsidRDefault="00E52318">
            <w:pPr>
              <w:spacing w:after="0"/>
              <w:rPr>
                <w:rFonts w:eastAsia="Calibri" w:cs="Times"/>
                <w:bCs/>
                <w:sz w:val="20"/>
                <w:szCs w:val="20"/>
              </w:rPr>
            </w:pPr>
            <w:r>
              <w:rPr>
                <w:rFonts w:eastAsia="Calibri" w:cs="Times"/>
                <w:bCs/>
                <w:sz w:val="20"/>
                <w:szCs w:val="20"/>
              </w:rPr>
              <w:t xml:space="preserve">2. Pediatria. Diagnostyka i leczenie. </w:t>
            </w:r>
            <w:r>
              <w:rPr>
                <w:rFonts w:eastAsia="Calibri" w:cs="Times"/>
                <w:bCs/>
                <w:sz w:val="20"/>
                <w:szCs w:val="20"/>
                <w:lang w:val="en-GB"/>
              </w:rPr>
              <w:t xml:space="preserve">T. 1-2. </w:t>
            </w:r>
            <w:r>
              <w:rPr>
                <w:rFonts w:eastAsia="Calibri" w:cs="Times"/>
                <w:bCs/>
                <w:sz w:val="20"/>
                <w:szCs w:val="20"/>
                <w:lang w:val="en-US"/>
              </w:rPr>
              <w:t xml:space="preserve">William W Hay </w:t>
            </w:r>
            <w:proofErr w:type="spellStart"/>
            <w:r>
              <w:rPr>
                <w:rFonts w:eastAsia="Calibri" w:cs="Times"/>
                <w:bCs/>
                <w:sz w:val="20"/>
                <w:szCs w:val="20"/>
                <w:lang w:val="en-US"/>
              </w:rPr>
              <w:t>Jr</w:t>
            </w:r>
            <w:proofErr w:type="spellEnd"/>
            <w:r>
              <w:rPr>
                <w:rFonts w:eastAsia="Calibri" w:cs="Times"/>
                <w:bCs/>
                <w:sz w:val="20"/>
                <w:szCs w:val="20"/>
                <w:lang w:val="en-US"/>
              </w:rPr>
              <w:t xml:space="preserve">, Myron J </w:t>
            </w:r>
            <w:proofErr w:type="spellStart"/>
            <w:r>
              <w:rPr>
                <w:rFonts w:eastAsia="Calibri" w:cs="Times"/>
                <w:bCs/>
                <w:sz w:val="20"/>
                <w:szCs w:val="20"/>
                <w:lang w:val="en-US"/>
              </w:rPr>
              <w:t>levin</w:t>
            </w:r>
            <w:proofErr w:type="spellEnd"/>
            <w:r>
              <w:rPr>
                <w:rFonts w:eastAsia="Calibri" w:cs="Times"/>
                <w:bCs/>
                <w:sz w:val="20"/>
                <w:szCs w:val="20"/>
                <w:lang w:val="en-US"/>
              </w:rPr>
              <w:t xml:space="preserve">, Judith M </w:t>
            </w:r>
            <w:proofErr w:type="spellStart"/>
            <w:r>
              <w:rPr>
                <w:rFonts w:eastAsia="Calibri" w:cs="Times"/>
                <w:bCs/>
                <w:sz w:val="20"/>
                <w:szCs w:val="20"/>
                <w:lang w:val="en-US"/>
              </w:rPr>
              <w:t>Sondheimer</w:t>
            </w:r>
            <w:proofErr w:type="spellEnd"/>
            <w:r>
              <w:rPr>
                <w:rFonts w:eastAsia="Calibri" w:cs="Times"/>
                <w:bCs/>
                <w:sz w:val="20"/>
                <w:szCs w:val="20"/>
                <w:lang w:val="en-US"/>
              </w:rPr>
              <w:t xml:space="preserve">, Robin R </w:t>
            </w:r>
            <w:proofErr w:type="spellStart"/>
            <w:r>
              <w:rPr>
                <w:rFonts w:eastAsia="Calibri" w:cs="Times"/>
                <w:bCs/>
                <w:sz w:val="20"/>
                <w:szCs w:val="20"/>
                <w:lang w:val="en-US"/>
              </w:rPr>
              <w:t>Dererding</w:t>
            </w:r>
            <w:proofErr w:type="spellEnd"/>
            <w:r>
              <w:rPr>
                <w:rFonts w:eastAsia="Calibri" w:cs="Times"/>
                <w:bCs/>
                <w:sz w:val="20"/>
                <w:szCs w:val="20"/>
                <w:lang w:val="en-US"/>
              </w:rPr>
              <w:t xml:space="preserve">; [red. </w:t>
            </w:r>
            <w:proofErr w:type="spellStart"/>
            <w:r>
              <w:rPr>
                <w:rFonts w:eastAsia="Calibri" w:cs="Times"/>
                <w:bCs/>
                <w:sz w:val="20"/>
                <w:szCs w:val="20"/>
                <w:lang w:val="en-US"/>
              </w:rPr>
              <w:t>wyd</w:t>
            </w:r>
            <w:proofErr w:type="spellEnd"/>
            <w:r>
              <w:rPr>
                <w:rFonts w:eastAsia="Calibri" w:cs="Times"/>
                <w:bCs/>
                <w:sz w:val="20"/>
                <w:szCs w:val="20"/>
                <w:lang w:val="en-US"/>
              </w:rPr>
              <w:t xml:space="preserve">. pol.] </w:t>
            </w:r>
            <w:proofErr w:type="spellStart"/>
            <w:r>
              <w:rPr>
                <w:rFonts w:eastAsia="Calibri" w:cs="Times"/>
                <w:bCs/>
                <w:sz w:val="20"/>
                <w:szCs w:val="20"/>
              </w:rPr>
              <w:t>TeresaJackowska</w:t>
            </w:r>
            <w:proofErr w:type="spellEnd"/>
            <w:r>
              <w:rPr>
                <w:rFonts w:eastAsia="Calibri" w:cs="Times"/>
                <w:bCs/>
                <w:sz w:val="20"/>
                <w:szCs w:val="20"/>
              </w:rPr>
              <w:t xml:space="preserve">, Lublin, </w:t>
            </w:r>
            <w:proofErr w:type="spellStart"/>
            <w:r>
              <w:rPr>
                <w:rFonts w:eastAsia="Calibri" w:cs="Times"/>
                <w:bCs/>
                <w:sz w:val="20"/>
                <w:szCs w:val="20"/>
              </w:rPr>
              <w:t>Czelej</w:t>
            </w:r>
            <w:proofErr w:type="spellEnd"/>
            <w:r>
              <w:rPr>
                <w:rFonts w:eastAsia="Calibri" w:cs="Times"/>
                <w:bCs/>
                <w:sz w:val="20"/>
                <w:szCs w:val="20"/>
              </w:rPr>
              <w:t>, 2011</w:t>
            </w:r>
          </w:p>
          <w:p w:rsidR="000B0085" w:rsidRDefault="00E52318">
            <w:pPr>
              <w:spacing w:after="0"/>
              <w:rPr>
                <w:rFonts w:eastAsia="Calibri" w:cs="Times"/>
                <w:bCs/>
                <w:sz w:val="20"/>
                <w:szCs w:val="20"/>
              </w:rPr>
            </w:pPr>
            <w:r>
              <w:rPr>
                <w:rFonts w:eastAsia="Calibri" w:cs="Times"/>
                <w:bCs/>
                <w:sz w:val="20"/>
                <w:szCs w:val="20"/>
              </w:rPr>
              <w:t xml:space="preserve">3. Stany nagłe. Pediatria. Marcin Tkaczyk, Warszawa </w:t>
            </w:r>
            <w:proofErr w:type="spellStart"/>
            <w:r>
              <w:rPr>
                <w:rFonts w:eastAsia="Calibri" w:cs="Times"/>
                <w:bCs/>
                <w:sz w:val="20"/>
                <w:szCs w:val="20"/>
              </w:rPr>
              <w:t>Medica</w:t>
            </w:r>
            <w:proofErr w:type="spellEnd"/>
            <w:r>
              <w:rPr>
                <w:rFonts w:eastAsia="Calibri" w:cs="Times"/>
                <w:bCs/>
                <w:sz w:val="20"/>
                <w:szCs w:val="20"/>
              </w:rPr>
              <w:t>; Tribune Polska, 2015</w:t>
            </w:r>
          </w:p>
          <w:p w:rsidR="000B0085" w:rsidRDefault="000B0085">
            <w:pPr>
              <w:spacing w:after="0"/>
              <w:rPr>
                <w:rFonts w:eastAsia="Calibri" w:cs="Times"/>
                <w:bCs/>
                <w:sz w:val="20"/>
                <w:szCs w:val="20"/>
              </w:rPr>
            </w:pPr>
          </w:p>
          <w:p w:rsidR="0025783D" w:rsidRDefault="0025783D">
            <w:pPr>
              <w:spacing w:after="0"/>
              <w:rPr>
                <w:rFonts w:eastAsia="Calibri" w:cs="Times"/>
                <w:bCs/>
                <w:sz w:val="20"/>
                <w:szCs w:val="20"/>
              </w:rPr>
            </w:pPr>
          </w:p>
          <w:p w:rsidR="000B0085" w:rsidRDefault="00E52318">
            <w:pPr>
              <w:spacing w:after="0"/>
              <w:rPr>
                <w:rFonts w:eastAsia="Calibri" w:cs="Times"/>
                <w:b/>
                <w:bCs/>
                <w:sz w:val="20"/>
                <w:szCs w:val="20"/>
              </w:rPr>
            </w:pPr>
            <w:r>
              <w:rPr>
                <w:rFonts w:eastAsia="Calibri" w:cs="Times"/>
                <w:b/>
                <w:bCs/>
                <w:sz w:val="20"/>
                <w:szCs w:val="20"/>
              </w:rPr>
              <w:lastRenderedPageBreak/>
              <w:t>Czasopisma zalecane:</w:t>
            </w:r>
          </w:p>
          <w:p w:rsidR="000B0085" w:rsidRDefault="00E52318">
            <w:pPr>
              <w:spacing w:after="0"/>
              <w:rPr>
                <w:rFonts w:eastAsia="Calibri" w:cs="Times"/>
                <w:bCs/>
                <w:sz w:val="20"/>
                <w:szCs w:val="20"/>
              </w:rPr>
            </w:pPr>
            <w:r>
              <w:rPr>
                <w:rFonts w:eastAsia="Calibri" w:cs="Times"/>
                <w:bCs/>
                <w:sz w:val="20"/>
                <w:szCs w:val="20"/>
              </w:rPr>
              <w:t>1. Standardy Medyczne. Pediatria</w:t>
            </w:r>
          </w:p>
          <w:p w:rsidR="000B0085" w:rsidRDefault="00E52318">
            <w:pPr>
              <w:spacing w:after="0"/>
              <w:rPr>
                <w:rFonts w:eastAsia="Calibri" w:cs="Times"/>
                <w:bCs/>
                <w:sz w:val="20"/>
                <w:szCs w:val="20"/>
              </w:rPr>
            </w:pPr>
            <w:r>
              <w:rPr>
                <w:rFonts w:eastAsia="Calibri" w:cs="Times"/>
                <w:bCs/>
                <w:sz w:val="20"/>
                <w:szCs w:val="20"/>
              </w:rPr>
              <w:t>2. Pediatria po Dyplomie</w:t>
            </w:r>
          </w:p>
          <w:p w:rsidR="000B0085" w:rsidRDefault="00E52318">
            <w:pPr>
              <w:spacing w:after="0"/>
              <w:rPr>
                <w:rFonts w:eastAsia="Calibri" w:cs="Times"/>
                <w:bCs/>
                <w:sz w:val="20"/>
                <w:szCs w:val="20"/>
              </w:rPr>
            </w:pPr>
            <w:r>
              <w:rPr>
                <w:rFonts w:eastAsia="Calibri" w:cs="Times"/>
                <w:bCs/>
                <w:sz w:val="20"/>
                <w:szCs w:val="20"/>
              </w:rPr>
              <w:t xml:space="preserve">3. Medycyna Wieku Rozwojowego (obecny tytuł </w:t>
            </w:r>
            <w:proofErr w:type="spellStart"/>
            <w:r>
              <w:rPr>
                <w:rFonts w:eastAsia="Calibri" w:cs="Times"/>
                <w:bCs/>
                <w:sz w:val="20"/>
                <w:szCs w:val="20"/>
              </w:rPr>
              <w:t>Developmental</w:t>
            </w:r>
            <w:proofErr w:type="spellEnd"/>
            <w:r>
              <w:rPr>
                <w:rFonts w:eastAsia="Calibri" w:cs="Times"/>
                <w:bCs/>
                <w:sz w:val="20"/>
                <w:szCs w:val="20"/>
              </w:rPr>
              <w:t xml:space="preserve"> Period </w:t>
            </w:r>
            <w:proofErr w:type="spellStart"/>
            <w:r>
              <w:rPr>
                <w:rFonts w:eastAsia="Calibri" w:cs="Times"/>
                <w:bCs/>
                <w:sz w:val="20"/>
                <w:szCs w:val="20"/>
              </w:rPr>
              <w:t>Medicine</w:t>
            </w:r>
            <w:proofErr w:type="spellEnd"/>
            <w:r>
              <w:rPr>
                <w:rFonts w:eastAsia="Calibri" w:cs="Times"/>
                <w:bCs/>
                <w:sz w:val="20"/>
                <w:szCs w:val="20"/>
              </w:rPr>
              <w:t>)</w:t>
            </w:r>
          </w:p>
          <w:p w:rsidR="000B0085" w:rsidRPr="00F554BA" w:rsidRDefault="00E52318">
            <w:pPr>
              <w:spacing w:after="0"/>
              <w:rPr>
                <w:rFonts w:eastAsia="Calibri" w:cs="Times"/>
                <w:bCs/>
                <w:sz w:val="20"/>
                <w:szCs w:val="20"/>
              </w:rPr>
            </w:pPr>
            <w:r>
              <w:rPr>
                <w:rFonts w:eastAsia="Calibri" w:cs="Times"/>
                <w:bCs/>
                <w:sz w:val="20"/>
                <w:szCs w:val="20"/>
              </w:rPr>
              <w:t>4. Postępy Nauk Medycznych</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w:rPr>
            </w:pPr>
            <w:r>
              <w:rPr>
                <w:rFonts w:eastAsia="Calibri" w:cs="Times"/>
                <w:b/>
                <w:bCs/>
              </w:rPr>
              <w:lastRenderedPageBreak/>
              <w:t>Wymagania dotycz</w:t>
            </w:r>
            <w:r>
              <w:rPr>
                <w:rFonts w:eastAsia="TimesNewRoman,Bold" w:cs="TimesNewRoman,Bold"/>
                <w:b/>
                <w:bCs/>
              </w:rPr>
              <w:t>ą</w:t>
            </w:r>
            <w:r>
              <w:rPr>
                <w:rFonts w:eastAsia="Calibri" w:cs="Times"/>
                <w:b/>
                <w:bCs/>
              </w:rPr>
              <w:t xml:space="preserve">ce pomocy dydaktycznych: </w:t>
            </w:r>
            <w:r>
              <w:rPr>
                <w:rFonts w:eastAsia="Calibri" w:cs="Times"/>
                <w:sz w:val="18"/>
                <w:szCs w:val="18"/>
              </w:rPr>
              <w:t>(np. laboratorium, rzutnik multimedialny, inne…)</w:t>
            </w:r>
          </w:p>
          <w:p w:rsidR="000B0085" w:rsidRDefault="00E52318">
            <w:pPr>
              <w:spacing w:after="0"/>
              <w:rPr>
                <w:rFonts w:eastAsia="Calibri" w:cs="Times"/>
                <w:bCs/>
              </w:rPr>
            </w:pPr>
            <w:r>
              <w:rPr>
                <w:rFonts w:eastAsia="Calibri" w:cs="Times"/>
                <w:bCs/>
              </w:rPr>
              <w:t>rzutnik multimedialny</w:t>
            </w:r>
          </w:p>
          <w:p w:rsidR="000B0085" w:rsidRPr="00F554BA" w:rsidRDefault="00E52318">
            <w:pPr>
              <w:spacing w:after="0"/>
              <w:rPr>
                <w:rFonts w:eastAsia="Calibri" w:cs="Times"/>
              </w:rPr>
            </w:pPr>
            <w:r>
              <w:rPr>
                <w:rFonts w:eastAsia="Calibri" w:cs="Times New Roman"/>
              </w:rPr>
              <w:t>Odpowiedni strój i obuwie, stetoskop, latarkę do badania gardła</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rPr>
                <w:rFonts w:eastAsia="Calibri" w:cs="Times"/>
                <w:bCs/>
              </w:rPr>
            </w:pPr>
            <w:r>
              <w:rPr>
                <w:rFonts w:eastAsia="Calibri" w:cs="Times"/>
                <w:b/>
                <w:bCs/>
              </w:rPr>
              <w:t xml:space="preserve">Warunki wstępne: </w:t>
            </w:r>
            <w:r>
              <w:rPr>
                <w:rFonts w:eastAsia="Calibri" w:cs="Times"/>
                <w:bCs/>
                <w:sz w:val="18"/>
                <w:szCs w:val="18"/>
              </w:rPr>
              <w:t>(</w:t>
            </w:r>
            <w:r>
              <w:rPr>
                <w:rFonts w:eastAsia="Calibri" w:cs="Times New Roman"/>
                <w:sz w:val="18"/>
                <w:szCs w:val="18"/>
              </w:rPr>
              <w:t>minimalne warunki, jakie powinien student spełnić przed przystąpieniem do modułu/przedmiotu</w:t>
            </w:r>
            <w:r>
              <w:rPr>
                <w:rFonts w:eastAsia="Calibri" w:cs="Times"/>
                <w:bCs/>
                <w:sz w:val="18"/>
                <w:szCs w:val="18"/>
              </w:rPr>
              <w:t>)</w:t>
            </w:r>
          </w:p>
          <w:p w:rsidR="000B0085" w:rsidRDefault="00E52318">
            <w:pPr>
              <w:spacing w:after="0"/>
              <w:rPr>
                <w:rFonts w:eastAsia="Calibri" w:cs="Times New Roman"/>
              </w:rPr>
            </w:pPr>
            <w:r>
              <w:rPr>
                <w:rFonts w:eastAsia="Calibri" w:cs="Times New Roman"/>
              </w:rPr>
              <w:t xml:space="preserve"> umiejętność badania fizykalnego, przeprowadzania diagnostyki różnicowej i proponowania terapii.</w:t>
            </w:r>
          </w:p>
        </w:tc>
      </w:tr>
      <w:tr w:rsidR="000B0085" w:rsidTr="00303CAE">
        <w:tc>
          <w:tcPr>
            <w:tcW w:w="10364" w:type="dxa"/>
            <w:gridSpan w:val="3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both"/>
              <w:rPr>
                <w:rFonts w:eastAsia="Calibri" w:cs="Times New Roman"/>
                <w:iCs/>
              </w:rPr>
            </w:pPr>
            <w:r>
              <w:rPr>
                <w:rFonts w:eastAsia="Calibri" w:cs="Times"/>
                <w:b/>
                <w:bCs/>
              </w:rPr>
              <w:t>Warunki uzyskania zaliczenia przedmiotu:</w:t>
            </w:r>
            <w:r>
              <w:rPr>
                <w:rFonts w:eastAsia="Calibri" w:cs="Times New Roman"/>
              </w:rPr>
              <w:t xml:space="preserve"> </w:t>
            </w:r>
            <w:r>
              <w:rPr>
                <w:rFonts w:eastAsia="Calibri" w:cs="Times New Roman"/>
                <w:sz w:val="18"/>
                <w:szCs w:val="18"/>
              </w:rPr>
              <w:t>(określić formę i warunki zaliczenia zajęć wchodzących w zakres  modułu/przedmiotu, zasady dopuszczenia do egzaminu końcowego teoretycznego i/lub praktycznego, jego formę oraz wymagania jakie student powinien spełnić by go zdać,</w:t>
            </w:r>
            <w:r>
              <w:rPr>
                <w:rFonts w:eastAsia="Calibri" w:cs="Times New Roman"/>
                <w:iCs/>
                <w:sz w:val="18"/>
                <w:szCs w:val="18"/>
              </w:rPr>
              <w:t xml:space="preserve"> a także kryteria na poszczególne oceny)</w:t>
            </w:r>
          </w:p>
          <w:p w:rsidR="000B0085" w:rsidRPr="00F554BA" w:rsidRDefault="00E52318" w:rsidP="00F554BA">
            <w:pPr>
              <w:spacing w:after="0" w:line="240" w:lineRule="auto"/>
              <w:jc w:val="both"/>
              <w:rPr>
                <w:iCs/>
                <w:sz w:val="20"/>
                <w:szCs w:val="20"/>
              </w:rPr>
            </w:pPr>
            <w:r>
              <w:rPr>
                <w:iCs/>
                <w:sz w:val="20"/>
                <w:szCs w:val="20"/>
              </w:rPr>
              <w:t>Część pisemna /test/ i ustna egzaminu polegająca na wykazaniu się wiadomościami dotyczącymi czterech zagadnień obejmujących cały zakres przedmiotu. Do uzyskania zaliczenia końcowego wymagana jest bardzo dobra, dobra, lub dostateczna odpowiedź na wylosowane pytania oraz pozytywny wynik części praktycznej egzaminu.</w:t>
            </w:r>
          </w:p>
        </w:tc>
      </w:tr>
      <w:tr w:rsidR="000B0085" w:rsidTr="00303CAE">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b/>
                <w:sz w:val="24"/>
                <w:szCs w:val="24"/>
              </w:rPr>
            </w:pPr>
            <w:r>
              <w:rPr>
                <w:rFonts w:eastAsia="Calibri" w:cs="Times New Roman"/>
                <w:b/>
                <w:sz w:val="24"/>
                <w:szCs w:val="24"/>
              </w:rPr>
              <w:t>Ocena:</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b/>
                <w:sz w:val="24"/>
                <w:szCs w:val="24"/>
              </w:rPr>
            </w:pPr>
            <w:r>
              <w:rPr>
                <w:rFonts w:eastAsia="Calibri" w:cs="Times New Roman"/>
                <w:b/>
                <w:sz w:val="24"/>
                <w:szCs w:val="24"/>
              </w:rPr>
              <w:t xml:space="preserve">Kryteria oceny: </w:t>
            </w:r>
            <w:r>
              <w:rPr>
                <w:rFonts w:eastAsia="Calibri" w:cs="Times New Roman"/>
                <w:sz w:val="18"/>
                <w:szCs w:val="18"/>
              </w:rPr>
              <w:t>(tylko dla przedmiotów/modułów kończących się egzaminem, )</w:t>
            </w:r>
          </w:p>
        </w:tc>
      </w:tr>
      <w:tr w:rsidR="000B0085" w:rsidTr="00303CAE">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rFonts w:eastAsia="Calibri" w:cs="Times New Roman"/>
                <w:sz w:val="24"/>
                <w:szCs w:val="24"/>
              </w:rPr>
              <w:t>Bardzo dobra</w:t>
            </w:r>
          </w:p>
          <w:p w:rsidR="000B0085" w:rsidRDefault="00E52318">
            <w:pPr>
              <w:spacing w:after="0"/>
              <w:jc w:val="center"/>
              <w:rPr>
                <w:rFonts w:eastAsia="Calibri" w:cs="Times New Roman"/>
                <w:sz w:val="24"/>
                <w:szCs w:val="24"/>
              </w:rPr>
            </w:pPr>
            <w:r>
              <w:rPr>
                <w:rFonts w:eastAsia="Calibri" w:cs="Times New Roman"/>
                <w:sz w:val="24"/>
                <w:szCs w:val="24"/>
              </w:rPr>
              <w:t>(5,0)</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sz w:val="20"/>
                <w:szCs w:val="20"/>
              </w:rPr>
              <w:t>&gt;94% pozytywnych odpowiedzi egzaminu testowego, pełna odpowiedź na wszystkie zadawane pytania, umiejętność samodzielnego rozwiązywania wszystkich problemów diagnostycznych.</w:t>
            </w:r>
          </w:p>
        </w:tc>
      </w:tr>
      <w:tr w:rsidR="000B0085" w:rsidTr="00303CAE">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rFonts w:eastAsia="Calibri" w:cs="Times New Roman"/>
                <w:sz w:val="24"/>
                <w:szCs w:val="24"/>
              </w:rPr>
              <w:t>Ponad dobra</w:t>
            </w:r>
          </w:p>
          <w:p w:rsidR="000B0085" w:rsidRDefault="00E52318">
            <w:pPr>
              <w:spacing w:after="0"/>
              <w:jc w:val="center"/>
              <w:rPr>
                <w:rFonts w:eastAsia="Calibri" w:cs="Times New Roman"/>
                <w:sz w:val="24"/>
                <w:szCs w:val="24"/>
              </w:rPr>
            </w:pPr>
            <w:r>
              <w:rPr>
                <w:rFonts w:eastAsia="Calibri" w:cs="Times New Roman"/>
                <w:sz w:val="24"/>
                <w:szCs w:val="24"/>
              </w:rPr>
              <w:t>(4,5)</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both"/>
              <w:rPr>
                <w:sz w:val="20"/>
                <w:szCs w:val="20"/>
              </w:rPr>
            </w:pPr>
            <w:r>
              <w:rPr>
                <w:sz w:val="20"/>
                <w:szCs w:val="20"/>
              </w:rPr>
              <w:t>85-94% pozytywnych odpowiedzi egzaminu testowego, pełna odpowiedź na większość zadawanych pytań, samodzielne rozwiązanie większości problemów diagnostycznych.</w:t>
            </w:r>
          </w:p>
        </w:tc>
      </w:tr>
      <w:tr w:rsidR="000B0085" w:rsidTr="00303CAE">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rFonts w:eastAsia="Calibri" w:cs="Times New Roman"/>
                <w:sz w:val="24"/>
                <w:szCs w:val="24"/>
              </w:rPr>
              <w:t>Dobra</w:t>
            </w:r>
          </w:p>
          <w:p w:rsidR="000B0085" w:rsidRDefault="00E52318">
            <w:pPr>
              <w:spacing w:after="0"/>
              <w:jc w:val="center"/>
              <w:rPr>
                <w:rFonts w:eastAsia="Calibri" w:cs="Times New Roman"/>
                <w:sz w:val="24"/>
                <w:szCs w:val="24"/>
              </w:rPr>
            </w:pPr>
            <w:r>
              <w:rPr>
                <w:rFonts w:eastAsia="Calibri" w:cs="Times New Roman"/>
                <w:sz w:val="24"/>
                <w:szCs w:val="24"/>
              </w:rPr>
              <w:t>(4,0)</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jc w:val="both"/>
              <w:rPr>
                <w:sz w:val="20"/>
                <w:szCs w:val="20"/>
              </w:rPr>
            </w:pPr>
            <w:r>
              <w:rPr>
                <w:sz w:val="20"/>
                <w:szCs w:val="20"/>
              </w:rPr>
              <w:t>80-84% pozytywnych odpowiedzi egzaminu testowego, pełna odpowiedź na większość zadawanych pytań egzaminu ustnego, samodzielne rozwiązanie większości problemów diagnostycznych.</w:t>
            </w:r>
          </w:p>
        </w:tc>
      </w:tr>
      <w:tr w:rsidR="000B0085" w:rsidTr="00303CAE">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rFonts w:eastAsia="Calibri" w:cs="Times New Roman"/>
                <w:sz w:val="24"/>
                <w:szCs w:val="24"/>
              </w:rPr>
              <w:t xml:space="preserve">Dość dobra </w:t>
            </w:r>
          </w:p>
          <w:p w:rsidR="000B0085" w:rsidRDefault="00E52318">
            <w:pPr>
              <w:spacing w:after="0"/>
              <w:jc w:val="center"/>
              <w:rPr>
                <w:rFonts w:eastAsia="Calibri" w:cs="Times New Roman"/>
                <w:sz w:val="24"/>
                <w:szCs w:val="24"/>
              </w:rPr>
            </w:pPr>
            <w:r>
              <w:rPr>
                <w:rFonts w:eastAsia="Calibri" w:cs="Times New Roman"/>
                <w:sz w:val="24"/>
                <w:szCs w:val="24"/>
              </w:rPr>
              <w:t>(3,5)</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sz w:val="20"/>
                <w:szCs w:val="20"/>
              </w:rPr>
              <w:t>70-79% pozytywnych odpowiedzi egzaminu testowego, poprawna odpowiedź na większość zadawanych pytań egzaminu ustnego, samodzielne rozwiązanie większości problemów diagnostycznych</w:t>
            </w:r>
          </w:p>
        </w:tc>
      </w:tr>
      <w:tr w:rsidR="000B0085" w:rsidTr="00303CAE">
        <w:trPr>
          <w:trHeight w:val="309"/>
        </w:trPr>
        <w:tc>
          <w:tcPr>
            <w:tcW w:w="18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rFonts w:eastAsia="Calibri" w:cs="Times New Roman"/>
                <w:sz w:val="24"/>
                <w:szCs w:val="24"/>
              </w:rPr>
              <w:t xml:space="preserve">Dostateczna </w:t>
            </w:r>
          </w:p>
          <w:p w:rsidR="000B0085" w:rsidRDefault="00E52318">
            <w:pPr>
              <w:spacing w:after="0"/>
              <w:jc w:val="center"/>
              <w:rPr>
                <w:rFonts w:eastAsia="Calibri" w:cs="Times New Roman"/>
                <w:sz w:val="24"/>
                <w:szCs w:val="24"/>
              </w:rPr>
            </w:pPr>
            <w:r>
              <w:rPr>
                <w:rFonts w:eastAsia="Calibri" w:cs="Times New Roman"/>
                <w:sz w:val="24"/>
                <w:szCs w:val="24"/>
              </w:rPr>
              <w:t>(3,0)</w:t>
            </w:r>
          </w:p>
        </w:tc>
        <w:tc>
          <w:tcPr>
            <w:tcW w:w="8558"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085" w:rsidRDefault="00E52318">
            <w:pPr>
              <w:spacing w:after="0"/>
              <w:jc w:val="center"/>
              <w:rPr>
                <w:rFonts w:eastAsia="Calibri" w:cs="Times New Roman"/>
                <w:sz w:val="24"/>
                <w:szCs w:val="24"/>
              </w:rPr>
            </w:pPr>
            <w:r>
              <w:rPr>
                <w:sz w:val="20"/>
                <w:szCs w:val="20"/>
              </w:rPr>
              <w:t>60-69% pozytywnych odpowiedzi egzaminu testowego, poprawna odpowiedź na min. 2 pytania egzaminu ustnego, samodzielne rozwiązanie min. jednego problemu diagnostycznego.</w:t>
            </w:r>
          </w:p>
        </w:tc>
      </w:tr>
      <w:tr w:rsidR="000B0085" w:rsidTr="00303CAE">
        <w:tc>
          <w:tcPr>
            <w:tcW w:w="237" w:type="dxa"/>
            <w:shd w:val="clear" w:color="auto" w:fill="auto"/>
          </w:tcPr>
          <w:p w:rsidR="000B0085" w:rsidRDefault="000B0085"/>
        </w:tc>
        <w:tc>
          <w:tcPr>
            <w:tcW w:w="10127" w:type="dxa"/>
            <w:gridSpan w:val="3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0085" w:rsidRDefault="00E52318">
            <w:pPr>
              <w:spacing w:after="0" w:line="240" w:lineRule="auto"/>
              <w:rPr>
                <w:rFonts w:eastAsia="Calibri" w:cs="Times"/>
                <w:b/>
                <w:bCs/>
              </w:rPr>
            </w:pPr>
            <w:r>
              <w:rPr>
                <w:rFonts w:eastAsia="Calibri" w:cs="Times"/>
                <w:b/>
                <w:bCs/>
              </w:rPr>
              <w:t>Nazwa i adres jednostki prowadz</w:t>
            </w:r>
            <w:r>
              <w:rPr>
                <w:rFonts w:eastAsia="TimesNewRoman,Bold" w:cs="TimesNewRoman,Bold"/>
                <w:b/>
                <w:bCs/>
              </w:rPr>
              <w:t>ą</w:t>
            </w:r>
            <w:r>
              <w:rPr>
                <w:rFonts w:eastAsia="Calibri" w:cs="Times"/>
                <w:b/>
                <w:bCs/>
              </w:rPr>
              <w:t xml:space="preserve">cej moduł/przedmiot, kontakt: tel. i adres email </w:t>
            </w:r>
          </w:p>
          <w:p w:rsidR="000B0085" w:rsidRDefault="00E52318">
            <w:pPr>
              <w:spacing w:after="0" w:line="240" w:lineRule="auto"/>
              <w:rPr>
                <w:rFonts w:cs="Times"/>
                <w:sz w:val="20"/>
                <w:szCs w:val="20"/>
              </w:rPr>
            </w:pPr>
            <w:r>
              <w:rPr>
                <w:rFonts w:cs="Times"/>
                <w:sz w:val="20"/>
                <w:szCs w:val="20"/>
              </w:rPr>
              <w:t>I Katedra i Klinika Pediatrii, Alergologii i Kardiologii Uniwersytetu Medycznego we Wrocławiu,</w:t>
            </w:r>
          </w:p>
          <w:p w:rsidR="000B0085" w:rsidRDefault="00E52318">
            <w:pPr>
              <w:spacing w:after="0" w:line="240" w:lineRule="auto"/>
              <w:rPr>
                <w:rFonts w:cs="Times"/>
                <w:sz w:val="20"/>
                <w:szCs w:val="20"/>
              </w:rPr>
            </w:pPr>
            <w:r>
              <w:rPr>
                <w:rFonts w:cs="Times"/>
                <w:sz w:val="20"/>
                <w:szCs w:val="20"/>
              </w:rPr>
              <w:t>ul. Chałubińskiego 2-2a</w:t>
            </w:r>
          </w:p>
          <w:p w:rsidR="000B0085" w:rsidRDefault="00E52318">
            <w:pPr>
              <w:spacing w:after="0" w:line="240" w:lineRule="auto"/>
              <w:rPr>
                <w:rFonts w:cs="Times"/>
                <w:sz w:val="20"/>
                <w:szCs w:val="20"/>
              </w:rPr>
            </w:pPr>
            <w:r>
              <w:rPr>
                <w:rFonts w:cs="Times"/>
                <w:sz w:val="20"/>
                <w:szCs w:val="20"/>
              </w:rPr>
              <w:t>tel. 71 770 30 91</w:t>
            </w:r>
          </w:p>
          <w:p w:rsidR="000B0085" w:rsidRPr="00E52318" w:rsidRDefault="00E52318">
            <w:pPr>
              <w:spacing w:after="0" w:line="240" w:lineRule="auto"/>
            </w:pPr>
            <w:r>
              <w:rPr>
                <w:rFonts w:cs="Times"/>
                <w:sz w:val="20"/>
                <w:szCs w:val="20"/>
              </w:rPr>
              <w:t xml:space="preserve">e-mail: </w:t>
            </w:r>
            <w:hyperlink r:id="rId6">
              <w:r w:rsidRPr="00E52318">
                <w:rPr>
                  <w:rStyle w:val="czeinternetowe"/>
                  <w:rFonts w:cs="Times"/>
                  <w:color w:val="auto"/>
                  <w:sz w:val="20"/>
                  <w:szCs w:val="20"/>
                </w:rPr>
                <w:t>aboz@pedalergol.am.wroc.pl</w:t>
              </w:r>
            </w:hyperlink>
          </w:p>
          <w:p w:rsidR="000B0085" w:rsidRPr="00E52318" w:rsidRDefault="00E52318">
            <w:pPr>
              <w:spacing w:after="0" w:line="240" w:lineRule="auto"/>
              <w:rPr>
                <w:lang w:val="fr-FR"/>
              </w:rPr>
            </w:pPr>
            <w:r w:rsidRPr="00E52318">
              <w:rPr>
                <w:rFonts w:cs="Times"/>
                <w:sz w:val="20"/>
                <w:szCs w:val="20"/>
                <w:lang w:val="fr-FR"/>
              </w:rPr>
              <w:t xml:space="preserve">e-mail: </w:t>
            </w:r>
            <w:hyperlink r:id="rId7">
              <w:r w:rsidRPr="00E52318">
                <w:rPr>
                  <w:rStyle w:val="czeinternetowe"/>
                  <w:rFonts w:cs="Times"/>
                  <w:color w:val="auto"/>
                  <w:sz w:val="20"/>
                  <w:szCs w:val="20"/>
                  <w:lang w:val="fr-FR"/>
                </w:rPr>
                <w:t>andrzej.boznanski@umed.wroc.pl</w:t>
              </w:r>
            </w:hyperlink>
          </w:p>
          <w:p w:rsidR="000B0085" w:rsidRPr="00E52318" w:rsidRDefault="00E52318">
            <w:pPr>
              <w:spacing w:after="0" w:line="240" w:lineRule="auto"/>
              <w:rPr>
                <w:lang w:val="fr-FR"/>
              </w:rPr>
            </w:pPr>
            <w:r w:rsidRPr="00E52318">
              <w:rPr>
                <w:rFonts w:cs="Times"/>
                <w:sz w:val="20"/>
                <w:szCs w:val="20"/>
                <w:lang w:val="fr-FR"/>
              </w:rPr>
              <w:t xml:space="preserve">e-mail: </w:t>
            </w:r>
            <w:hyperlink r:id="rId8">
              <w:r w:rsidRPr="00E52318">
                <w:rPr>
                  <w:rStyle w:val="czeinternetowe"/>
                  <w:rFonts w:cs="Times"/>
                  <w:color w:val="auto"/>
                  <w:sz w:val="20"/>
                  <w:szCs w:val="20"/>
                  <w:lang w:val="fr-FR"/>
                </w:rPr>
                <w:t>karolina.wojcik@umed.wroc.pl</w:t>
              </w:r>
            </w:hyperlink>
          </w:p>
          <w:p w:rsidR="000B0085" w:rsidRDefault="00E52318">
            <w:pPr>
              <w:spacing w:after="0" w:line="360" w:lineRule="auto"/>
              <w:rPr>
                <w:rFonts w:eastAsia="Calibri" w:cs="Times"/>
                <w:b/>
              </w:rPr>
            </w:pPr>
            <w:r>
              <w:rPr>
                <w:rFonts w:eastAsia="Calibri" w:cs="Times"/>
                <w:b/>
              </w:rPr>
              <w:t xml:space="preserve">Koordynator / Osoba odpowiedzialna za moduł/przedmiot, </w:t>
            </w:r>
            <w:r>
              <w:rPr>
                <w:rFonts w:eastAsia="Calibri" w:cs="Times"/>
                <w:b/>
                <w:bCs/>
              </w:rPr>
              <w:t>kontakt: tel. i adres email</w:t>
            </w:r>
          </w:p>
          <w:p w:rsidR="000B0085" w:rsidRDefault="00E52318">
            <w:pPr>
              <w:spacing w:after="0" w:line="360" w:lineRule="auto"/>
              <w:rPr>
                <w:rFonts w:eastAsia="Calibri" w:cs="Times"/>
              </w:rPr>
            </w:pPr>
            <w:r>
              <w:rPr>
                <w:rFonts w:eastAsia="Calibri" w:cs="Times"/>
              </w:rPr>
              <w:t>Prof. dr hab. Andrzej Boznański</w:t>
            </w:r>
          </w:p>
          <w:p w:rsidR="000B0085" w:rsidRPr="00E52318" w:rsidRDefault="00E52318">
            <w:pPr>
              <w:spacing w:after="0" w:line="360" w:lineRule="auto"/>
            </w:pPr>
            <w:r>
              <w:rPr>
                <w:rFonts w:cs="Times"/>
                <w:sz w:val="20"/>
                <w:szCs w:val="20"/>
              </w:rPr>
              <w:t xml:space="preserve">e-mail: </w:t>
            </w:r>
            <w:hyperlink r:id="rId9">
              <w:r w:rsidRPr="00E52318">
                <w:rPr>
                  <w:rStyle w:val="czeinternetowe"/>
                  <w:rFonts w:cs="Times"/>
                  <w:color w:val="auto"/>
                  <w:sz w:val="20"/>
                  <w:szCs w:val="20"/>
                </w:rPr>
                <w:t>aboz@pedalergol.am.wroc.pl</w:t>
              </w:r>
            </w:hyperlink>
          </w:p>
          <w:p w:rsidR="000B0085" w:rsidRPr="00E52318" w:rsidRDefault="00E52318">
            <w:pPr>
              <w:spacing w:after="0" w:line="360" w:lineRule="auto"/>
              <w:rPr>
                <w:lang w:val="fr-FR"/>
              </w:rPr>
            </w:pPr>
            <w:r w:rsidRPr="00E52318">
              <w:rPr>
                <w:rFonts w:cs="Times"/>
                <w:sz w:val="20"/>
                <w:szCs w:val="20"/>
                <w:lang w:val="fr-FR"/>
              </w:rPr>
              <w:t xml:space="preserve">e-mail: </w:t>
            </w:r>
            <w:hyperlink r:id="rId10">
              <w:r w:rsidRPr="00E52318">
                <w:rPr>
                  <w:rStyle w:val="czeinternetowe"/>
                  <w:rFonts w:cs="Times"/>
                  <w:color w:val="auto"/>
                  <w:sz w:val="20"/>
                  <w:szCs w:val="20"/>
                  <w:lang w:val="fr-FR"/>
                </w:rPr>
                <w:t>andrzej.boznanski@umed.wroc.pl</w:t>
              </w:r>
            </w:hyperlink>
            <w:r w:rsidRPr="00E52318">
              <w:rPr>
                <w:rFonts w:cs="Times"/>
                <w:sz w:val="20"/>
                <w:szCs w:val="20"/>
                <w:lang w:val="fr-FR"/>
              </w:rPr>
              <w:t xml:space="preserve">   </w:t>
            </w:r>
          </w:p>
          <w:p w:rsidR="000B0085" w:rsidRPr="00E52318" w:rsidRDefault="000B0085">
            <w:pPr>
              <w:spacing w:after="0" w:line="360" w:lineRule="auto"/>
              <w:rPr>
                <w:rFonts w:cs="Times"/>
                <w:sz w:val="20"/>
                <w:szCs w:val="20"/>
                <w:lang w:val="fr-FR"/>
              </w:rPr>
            </w:pPr>
          </w:p>
          <w:p w:rsidR="00F554BA" w:rsidRDefault="00E52318">
            <w:pPr>
              <w:jc w:val="both"/>
              <w:rPr>
                <w:rFonts w:cs="Times"/>
                <w:b/>
                <w:bCs/>
              </w:rPr>
            </w:pPr>
            <w:r>
              <w:rPr>
                <w:rFonts w:cs="Times"/>
                <w:b/>
                <w:bCs/>
              </w:rPr>
              <w:t xml:space="preserve">Wykaz osób prowadzących poszczególne zajęcia: Imię i Nazwisko, stopień/tytuł naukowy                      </w:t>
            </w:r>
          </w:p>
          <w:p w:rsidR="000B0085" w:rsidRDefault="00E52318">
            <w:pPr>
              <w:jc w:val="both"/>
              <w:rPr>
                <w:rFonts w:cs="Times"/>
                <w:bCs/>
              </w:rPr>
            </w:pPr>
            <w:r>
              <w:rPr>
                <w:rFonts w:cs="Times"/>
                <w:b/>
                <w:bCs/>
              </w:rPr>
              <w:t xml:space="preserve"> lub zawodowy, dziedzina naukowa, wykonywany zawód, forma prowadzenia zajęć </w:t>
            </w:r>
            <w:r>
              <w:rPr>
                <w:rFonts w:cs="Times"/>
                <w:bCs/>
              </w:rPr>
              <w:t>:</w:t>
            </w:r>
          </w:p>
          <w:p w:rsidR="000B0085" w:rsidRDefault="00E52318">
            <w:pPr>
              <w:spacing w:line="240" w:lineRule="auto"/>
              <w:jc w:val="both"/>
              <w:rPr>
                <w:sz w:val="18"/>
                <w:szCs w:val="18"/>
              </w:rPr>
            </w:pPr>
            <w:r>
              <w:rPr>
                <w:sz w:val="18"/>
                <w:szCs w:val="18"/>
              </w:rPr>
              <w:t>W przypadku przedmiotów koordynowanych proszę wpisać wykaz osób prowadzących poszczególne zajęcia odrębnie dla każdej jednostki realizującej dane zajęcia:</w:t>
            </w:r>
          </w:p>
          <w:p w:rsidR="002163C8" w:rsidRDefault="002163C8">
            <w:pPr>
              <w:spacing w:line="240" w:lineRule="auto"/>
              <w:jc w:val="both"/>
              <w:rPr>
                <w:sz w:val="18"/>
                <w:szCs w:val="18"/>
              </w:rPr>
            </w:pPr>
          </w:p>
        </w:tc>
      </w:tr>
    </w:tbl>
    <w:tbl>
      <w:tblPr>
        <w:tblpPr w:leftFromText="141" w:rightFromText="141" w:vertAnchor="text" w:horzAnchor="margin" w:tblpY="1"/>
        <w:tblW w:w="9575"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93" w:type="dxa"/>
        </w:tblCellMar>
        <w:tblLook w:val="04A0"/>
      </w:tblPr>
      <w:tblGrid>
        <w:gridCol w:w="863"/>
        <w:gridCol w:w="2362"/>
        <w:gridCol w:w="1475"/>
        <w:gridCol w:w="1463"/>
        <w:gridCol w:w="1462"/>
        <w:gridCol w:w="1950"/>
      </w:tblGrid>
      <w:tr w:rsidR="000B0085">
        <w:trPr>
          <w:trHeight w:val="570"/>
        </w:trPr>
        <w:tc>
          <w:tcPr>
            <w:tcW w:w="863" w:type="dxa"/>
            <w:tcBorders>
              <w:top w:val="doub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lastRenderedPageBreak/>
              <w:t>L.p.</w:t>
            </w:r>
          </w:p>
        </w:tc>
        <w:tc>
          <w:tcPr>
            <w:tcW w:w="2362"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Imię i nazwisko</w:t>
            </w:r>
          </w:p>
        </w:tc>
        <w:tc>
          <w:tcPr>
            <w:tcW w:w="1475"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Tytuł/stopień naukowy</w:t>
            </w:r>
          </w:p>
        </w:tc>
        <w:tc>
          <w:tcPr>
            <w:tcW w:w="1463"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dziedzina naukowa</w:t>
            </w:r>
          </w:p>
        </w:tc>
        <w:tc>
          <w:tcPr>
            <w:tcW w:w="1462"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Wykonywany zawód</w:t>
            </w:r>
          </w:p>
        </w:tc>
        <w:tc>
          <w:tcPr>
            <w:tcW w:w="1950" w:type="dxa"/>
            <w:tcBorders>
              <w:top w:val="doub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Forma prowadzonych zajęć</w:t>
            </w:r>
          </w:p>
        </w:tc>
      </w:tr>
      <w:tr w:rsidR="000B0085">
        <w:trPr>
          <w:trHeight w:val="586"/>
        </w:trPr>
        <w:tc>
          <w:tcPr>
            <w:tcW w:w="9575" w:type="dxa"/>
            <w:gridSpan w:val="6"/>
            <w:tcBorders>
              <w:top w:val="double" w:sz="4" w:space="0" w:color="00000A"/>
              <w:left w:val="double" w:sz="4" w:space="0" w:color="00000A"/>
              <w:bottom w:val="single" w:sz="4" w:space="0" w:color="00000A"/>
              <w:right w:val="double" w:sz="4" w:space="0" w:color="00000A"/>
            </w:tcBorders>
            <w:shd w:val="clear" w:color="auto" w:fill="auto"/>
            <w:tcMar>
              <w:left w:w="93" w:type="dxa"/>
            </w:tcMar>
            <w:vAlign w:val="center"/>
          </w:tcPr>
          <w:p w:rsidR="002163C8" w:rsidRDefault="002163C8" w:rsidP="002163C8">
            <w:pPr>
              <w:spacing w:line="240" w:lineRule="auto"/>
              <w:jc w:val="center"/>
              <w:rPr>
                <w:rFonts w:eastAsia="Times New Roman"/>
                <w:b/>
                <w:sz w:val="20"/>
                <w:szCs w:val="20"/>
              </w:rPr>
            </w:pPr>
          </w:p>
          <w:p w:rsidR="000B0085" w:rsidRDefault="00E52318" w:rsidP="002163C8">
            <w:pPr>
              <w:spacing w:line="240" w:lineRule="auto"/>
              <w:jc w:val="center"/>
              <w:rPr>
                <w:rFonts w:eastAsia="Times New Roman"/>
                <w:b/>
                <w:sz w:val="20"/>
                <w:szCs w:val="20"/>
              </w:rPr>
            </w:pPr>
            <w:r>
              <w:rPr>
                <w:rFonts w:eastAsia="Times New Roman"/>
                <w:b/>
                <w:sz w:val="20"/>
                <w:szCs w:val="20"/>
              </w:rPr>
              <w:t>I Katedra i Klinika Pediatrii, Alergologii i Kardiologii</w:t>
            </w:r>
          </w:p>
          <w:p w:rsidR="002163C8" w:rsidRDefault="002163C8" w:rsidP="002163C8">
            <w:pPr>
              <w:spacing w:line="240" w:lineRule="auto"/>
              <w:jc w:val="center"/>
              <w:rPr>
                <w:rFonts w:eastAsia="Times New Roman"/>
                <w:b/>
                <w:sz w:val="20"/>
                <w:szCs w:val="20"/>
              </w:rPr>
            </w:pP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Andrzej Boznański</w:t>
            </w:r>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prof. dr hab.</w:t>
            </w:r>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 xml:space="preserve">Ewa </w:t>
            </w:r>
            <w:proofErr w:type="spellStart"/>
            <w:r>
              <w:rPr>
                <w:rFonts w:eastAsia="Times New Roman" w:cs="Times"/>
                <w:sz w:val="20"/>
                <w:szCs w:val="20"/>
              </w:rPr>
              <w:t>Willak-Janc</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Anna Dębińska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Hanna Danielewicz</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Barbara Sozańska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hab.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6</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Anna Łątkowska</w:t>
            </w:r>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n. med.</w:t>
            </w:r>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7</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Wanda Balińska-Miśkiewicz</w:t>
            </w:r>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n. med.</w:t>
            </w:r>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8</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Wioleta Kucharska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9</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 xml:space="preserve">Małgorzata </w:t>
            </w:r>
            <w:proofErr w:type="spellStart"/>
            <w:r>
              <w:rPr>
                <w:rFonts w:eastAsia="Times New Roman" w:cs="Times"/>
                <w:sz w:val="20"/>
                <w:szCs w:val="20"/>
              </w:rPr>
              <w:t>Gromkowska</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10</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 xml:space="preserve">Marek </w:t>
            </w:r>
            <w:proofErr w:type="spellStart"/>
            <w:r>
              <w:rPr>
                <w:rFonts w:eastAsia="Times New Roman" w:cs="Times"/>
                <w:sz w:val="20"/>
                <w:szCs w:val="20"/>
              </w:rPr>
              <w:t>Wasicionek</w:t>
            </w:r>
            <w:proofErr w:type="spellEnd"/>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 med.</w:t>
            </w:r>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9575" w:type="dxa"/>
            <w:gridSpan w:val="6"/>
            <w:tcBorders>
              <w:top w:val="double" w:sz="4" w:space="0" w:color="00000A"/>
              <w:left w:val="double" w:sz="4" w:space="0" w:color="00000A"/>
              <w:bottom w:val="single" w:sz="4" w:space="0" w:color="00000A"/>
              <w:right w:val="double" w:sz="4" w:space="0" w:color="00000A"/>
            </w:tcBorders>
            <w:shd w:val="clear" w:color="auto" w:fill="auto"/>
            <w:tcMar>
              <w:left w:w="93" w:type="dxa"/>
            </w:tcMar>
            <w:vAlign w:val="center"/>
          </w:tcPr>
          <w:p w:rsidR="002163C8" w:rsidRDefault="002163C8" w:rsidP="002163C8">
            <w:pPr>
              <w:spacing w:line="240" w:lineRule="auto"/>
              <w:jc w:val="center"/>
              <w:rPr>
                <w:rFonts w:eastAsia="Times New Roman"/>
                <w:b/>
                <w:sz w:val="20"/>
                <w:szCs w:val="20"/>
              </w:rPr>
            </w:pPr>
          </w:p>
          <w:p w:rsidR="000B0085" w:rsidRDefault="00E52318" w:rsidP="002163C8">
            <w:pPr>
              <w:spacing w:line="240" w:lineRule="auto"/>
              <w:jc w:val="center"/>
              <w:rPr>
                <w:rFonts w:eastAsia="Times New Roman"/>
                <w:b/>
                <w:sz w:val="20"/>
                <w:szCs w:val="20"/>
              </w:rPr>
            </w:pPr>
            <w:r>
              <w:rPr>
                <w:rFonts w:eastAsia="Times New Roman"/>
                <w:b/>
                <w:sz w:val="20"/>
                <w:szCs w:val="20"/>
              </w:rPr>
              <w:t>Katedra i Klinika Endokrynologii i Diabetologii Wieku Rozwojowego</w:t>
            </w:r>
          </w:p>
          <w:p w:rsidR="002163C8" w:rsidRDefault="002163C8" w:rsidP="002163C8">
            <w:pPr>
              <w:spacing w:line="240" w:lineRule="auto"/>
              <w:jc w:val="center"/>
              <w:rPr>
                <w:rFonts w:eastAsia="Times New Roman"/>
                <w:b/>
                <w:sz w:val="20"/>
                <w:szCs w:val="20"/>
              </w:rPr>
            </w:pP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11</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cs="Times"/>
                <w:sz w:val="20"/>
                <w:szCs w:val="20"/>
              </w:rPr>
              <w:t>Anna Noczyńska</w:t>
            </w:r>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prof. dr hab.</w:t>
            </w:r>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Aleksander Basiak</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 xml:space="preserve">Beata </w:t>
            </w:r>
            <w:proofErr w:type="spellStart"/>
            <w:r>
              <w:rPr>
                <w:rFonts w:eastAsia="Times New Roman"/>
                <w:sz w:val="20"/>
                <w:szCs w:val="20"/>
              </w:rPr>
              <w:t>Wikiera</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Teresa Żak</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Agnieszka Zubkiewicz-Kucharska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16</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Ewa Głąb</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17</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Joanna Chrzanowska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18</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Julita Nocoń-Bohusz</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19</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Monika Seifert</w:t>
            </w:r>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9575" w:type="dxa"/>
            <w:gridSpan w:val="6"/>
            <w:tcBorders>
              <w:top w:val="double" w:sz="4" w:space="0" w:color="00000A"/>
              <w:left w:val="double" w:sz="4" w:space="0" w:color="00000A"/>
              <w:bottom w:val="single" w:sz="4" w:space="0" w:color="00000A"/>
              <w:right w:val="double" w:sz="4" w:space="0" w:color="00000A"/>
            </w:tcBorders>
            <w:shd w:val="clear" w:color="auto" w:fill="auto"/>
            <w:tcMar>
              <w:left w:w="93" w:type="dxa"/>
            </w:tcMar>
            <w:vAlign w:val="center"/>
          </w:tcPr>
          <w:p w:rsidR="000B0085" w:rsidRDefault="000B0085">
            <w:pPr>
              <w:spacing w:line="240" w:lineRule="auto"/>
              <w:jc w:val="center"/>
              <w:rPr>
                <w:rFonts w:eastAsia="Times New Roman"/>
                <w:b/>
                <w:sz w:val="20"/>
                <w:szCs w:val="20"/>
              </w:rPr>
            </w:pPr>
          </w:p>
          <w:p w:rsidR="002163C8" w:rsidRDefault="00E52318" w:rsidP="002163C8">
            <w:pPr>
              <w:spacing w:line="240" w:lineRule="auto"/>
              <w:jc w:val="center"/>
              <w:rPr>
                <w:rFonts w:eastAsia="Times New Roman"/>
                <w:b/>
                <w:sz w:val="20"/>
                <w:szCs w:val="20"/>
              </w:rPr>
            </w:pPr>
            <w:r>
              <w:rPr>
                <w:rFonts w:eastAsia="Times New Roman"/>
                <w:b/>
                <w:sz w:val="20"/>
                <w:szCs w:val="20"/>
              </w:rPr>
              <w:t>Katedra i Klinika Transplantacji Szpiku, Onkologii i Hematologii</w:t>
            </w: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20</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Bernarda Kazanowska</w:t>
            </w:r>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dr hab. n. </w:t>
            </w:r>
            <w:proofErr w:type="spellStart"/>
            <w:r>
              <w:rPr>
                <w:rFonts w:eastAsia="Times New Roman"/>
                <w:b/>
                <w:sz w:val="16"/>
                <w:szCs w:val="16"/>
              </w:rPr>
              <w:t>med</w:t>
            </w:r>
            <w:proofErr w:type="spellEnd"/>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lastRenderedPageBreak/>
              <w:t>21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20"/>
                <w:szCs w:val="20"/>
              </w:rPr>
            </w:pPr>
            <w:r>
              <w:rPr>
                <w:rFonts w:eastAsia="Times New Roman" w:cs="Times"/>
                <w:sz w:val="20"/>
                <w:szCs w:val="20"/>
              </w:rPr>
              <w:t>Alicja Chybicka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prof. dr </w:t>
            </w:r>
            <w:proofErr w:type="spellStart"/>
            <w:r>
              <w:rPr>
                <w:rFonts w:eastAsia="Times New Roman"/>
                <w:b/>
                <w:sz w:val="16"/>
                <w:szCs w:val="16"/>
              </w:rPr>
              <w:t>hab</w:t>
            </w:r>
            <w:proofErr w:type="spellEnd"/>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Grażyna Wróbel</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dr hab. n. </w:t>
            </w:r>
            <w:proofErr w:type="spellStart"/>
            <w:r>
              <w:rPr>
                <w:rFonts w:eastAsia="Times New Roman"/>
                <w:b/>
                <w:sz w:val="16"/>
                <w:szCs w:val="16"/>
              </w:rPr>
              <w:t>med</w:t>
            </w:r>
            <w:proofErr w:type="spellEnd"/>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tabs>
                <w:tab w:val="left" w:pos="1236"/>
              </w:tabs>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Grzegorz Dobaczewski</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dr n. </w:t>
            </w:r>
            <w:proofErr w:type="spellStart"/>
            <w:r>
              <w:rPr>
                <w:rFonts w:eastAsia="Times New Roman"/>
                <w:b/>
                <w:sz w:val="16"/>
                <w:szCs w:val="16"/>
              </w:rPr>
              <w:t>med</w:t>
            </w:r>
            <w:proofErr w:type="spellEnd"/>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tabs>
                <w:tab w:val="left" w:pos="1236"/>
              </w:tabs>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Wojciech Pietras</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dr n. </w:t>
            </w:r>
            <w:proofErr w:type="spellStart"/>
            <w:r>
              <w:rPr>
                <w:rFonts w:eastAsia="Times New Roman"/>
                <w:b/>
                <w:sz w:val="16"/>
                <w:szCs w:val="16"/>
              </w:rPr>
              <w:t>med</w:t>
            </w:r>
            <w:proofErr w:type="spellEnd"/>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tabs>
                <w:tab w:val="left" w:pos="1236"/>
              </w:tabs>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rPr>
          <w:trHeight w:val="521"/>
        </w:trPr>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25</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sz w:val="20"/>
                <w:szCs w:val="20"/>
              </w:rPr>
            </w:pPr>
            <w:r>
              <w:rPr>
                <w:rFonts w:eastAsia="Times New Roman"/>
                <w:sz w:val="20"/>
                <w:szCs w:val="20"/>
              </w:rPr>
              <w:t>Elżbieta Latos-Grażyńska</w:t>
            </w:r>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 xml:space="preserve">dr n. </w:t>
            </w:r>
            <w:proofErr w:type="spellStart"/>
            <w:r>
              <w:rPr>
                <w:rFonts w:eastAsia="Times New Roman"/>
                <w:b/>
                <w:sz w:val="16"/>
                <w:szCs w:val="16"/>
              </w:rPr>
              <w:t>med</w:t>
            </w:r>
            <w:proofErr w:type="spellEnd"/>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tabs>
                <w:tab w:val="left" w:pos="1236"/>
              </w:tabs>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9575" w:type="dxa"/>
            <w:gridSpan w:val="6"/>
            <w:tcBorders>
              <w:top w:val="double" w:sz="4" w:space="0" w:color="00000A"/>
              <w:left w:val="double" w:sz="4" w:space="0" w:color="00000A"/>
              <w:bottom w:val="single" w:sz="4" w:space="0" w:color="00000A"/>
              <w:right w:val="double" w:sz="4" w:space="0" w:color="00000A"/>
            </w:tcBorders>
            <w:shd w:val="clear" w:color="auto" w:fill="auto"/>
            <w:tcMar>
              <w:left w:w="93" w:type="dxa"/>
            </w:tcMar>
            <w:vAlign w:val="center"/>
          </w:tcPr>
          <w:p w:rsidR="000B0085" w:rsidRDefault="000B0085">
            <w:pPr>
              <w:spacing w:line="240" w:lineRule="auto"/>
              <w:jc w:val="center"/>
              <w:rPr>
                <w:rFonts w:eastAsia="Times New Roman"/>
                <w:b/>
                <w:sz w:val="20"/>
                <w:szCs w:val="20"/>
              </w:rPr>
            </w:pPr>
          </w:p>
          <w:p w:rsidR="000B0085" w:rsidRDefault="00E52318">
            <w:pPr>
              <w:spacing w:line="240" w:lineRule="auto"/>
              <w:jc w:val="center"/>
              <w:rPr>
                <w:rFonts w:eastAsia="Times New Roman"/>
                <w:b/>
                <w:sz w:val="20"/>
                <w:szCs w:val="20"/>
              </w:rPr>
            </w:pPr>
            <w:r>
              <w:rPr>
                <w:rFonts w:eastAsia="Times New Roman"/>
                <w:b/>
                <w:sz w:val="20"/>
                <w:szCs w:val="20"/>
              </w:rPr>
              <w:t>Katedra i Klinika Nefrologii Pediatrycznej</w:t>
            </w:r>
          </w:p>
          <w:p w:rsidR="002163C8" w:rsidRDefault="002163C8">
            <w:pPr>
              <w:spacing w:line="240" w:lineRule="auto"/>
              <w:jc w:val="center"/>
              <w:rPr>
                <w:rFonts w:eastAsia="Times New Roman"/>
                <w:b/>
                <w:sz w:val="20"/>
                <w:szCs w:val="20"/>
              </w:rPr>
            </w:pP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26</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Danuta Zwolińska</w:t>
            </w:r>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prof. dr hab.</w:t>
            </w:r>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27</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Katarzyna Kiliś-Pstrusińska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prof. dr hab.</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28</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Irena Makulska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lang w:val="en-US"/>
              </w:rPr>
            </w:pPr>
            <w:r>
              <w:rPr>
                <w:rFonts w:eastAsia="Times New Roman"/>
                <w:b/>
                <w:sz w:val="16"/>
                <w:szCs w:val="16"/>
                <w:lang w:val="en-US"/>
              </w:rPr>
              <w:t>prof. dr hab.</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29</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Dorota Polak-Jonkisz</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lang w:val="en-US"/>
              </w:rPr>
              <w:t>dr hab.</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30</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Kinga Musiał</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lang w:val="en-US"/>
              </w:rPr>
              <w:t>dr hab.</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Anna Medyńska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 xml:space="preserve">Irena </w:t>
            </w:r>
            <w:proofErr w:type="spellStart"/>
            <w:r>
              <w:rPr>
                <w:rFonts w:eastAsia="Times New Roman" w:cs="Times"/>
                <w:sz w:val="20"/>
                <w:szCs w:val="20"/>
              </w:rPr>
              <w:t>Wikiera-Magott</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33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2163C8">
            <w:pPr>
              <w:spacing w:line="240" w:lineRule="auto"/>
              <w:jc w:val="center"/>
              <w:rPr>
                <w:rFonts w:eastAsia="Times New Roman" w:cs="Times"/>
                <w:sz w:val="20"/>
                <w:szCs w:val="20"/>
              </w:rPr>
            </w:pPr>
            <w:r>
              <w:rPr>
                <w:rFonts w:eastAsia="Times New Roman" w:cs="Times"/>
                <w:sz w:val="20"/>
                <w:szCs w:val="20"/>
              </w:rPr>
              <w:t>Monika Augustyniak</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2163C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2163C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2163C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2163C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Anna Jakubowska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proofErr w:type="spellStart"/>
            <w:r>
              <w:rPr>
                <w:rFonts w:eastAsia="Times New Roman" w:cs="Times"/>
                <w:sz w:val="20"/>
                <w:szCs w:val="20"/>
              </w:rPr>
              <w:t>Agnieszka-Pukajło-Marczyk</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36</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Konstancja Fornalczyk</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E52318">
            <w:pPr>
              <w:spacing w:line="240" w:lineRule="auto"/>
              <w:jc w:val="center"/>
              <w:rPr>
                <w:rFonts w:eastAsia="Times New Roman"/>
                <w:b/>
              </w:rPr>
            </w:pPr>
            <w:r>
              <w:rPr>
                <w:rFonts w:eastAsia="Times New Roman"/>
                <w:b/>
              </w:rPr>
              <w:t>3</w:t>
            </w:r>
            <w:r w:rsidR="002163C8">
              <w:rPr>
                <w:rFonts w:eastAsia="Times New Roman"/>
                <w:b/>
              </w:rPr>
              <w:t>7</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 xml:space="preserve">Agnieszka </w:t>
            </w:r>
            <w:proofErr w:type="spellStart"/>
            <w:r>
              <w:rPr>
                <w:rFonts w:eastAsia="Times New Roman" w:cs="Times"/>
                <w:sz w:val="20"/>
                <w:szCs w:val="20"/>
              </w:rPr>
              <w:t>Bargenda</w:t>
            </w:r>
            <w:proofErr w:type="spellEnd"/>
            <w:r w:rsidR="002163C8">
              <w:rPr>
                <w:rFonts w:eastAsia="Times New Roman" w:cs="Times"/>
                <w:sz w:val="20"/>
                <w:szCs w:val="20"/>
              </w:rPr>
              <w:t>- Lange</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38</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sz w:val="20"/>
                <w:szCs w:val="20"/>
              </w:rPr>
            </w:pPr>
            <w:r>
              <w:rPr>
                <w:rFonts w:eastAsia="Times New Roman" w:cs="Times"/>
                <w:sz w:val="20"/>
                <w:szCs w:val="20"/>
              </w:rPr>
              <w:t xml:space="preserve">Katarzyna </w:t>
            </w:r>
            <w:proofErr w:type="spellStart"/>
            <w:r>
              <w:rPr>
                <w:rFonts w:eastAsia="Times New Roman" w:cs="Times"/>
                <w:sz w:val="20"/>
                <w:szCs w:val="20"/>
              </w:rPr>
              <w:t>Prościak</w:t>
            </w:r>
            <w:proofErr w:type="spellEnd"/>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9575" w:type="dxa"/>
            <w:gridSpan w:val="6"/>
            <w:tcBorders>
              <w:top w:val="double" w:sz="4" w:space="0" w:color="00000A"/>
              <w:left w:val="double" w:sz="4" w:space="0" w:color="00000A"/>
              <w:bottom w:val="single" w:sz="4" w:space="0" w:color="00000A"/>
              <w:right w:val="double" w:sz="4" w:space="0" w:color="00000A"/>
            </w:tcBorders>
            <w:shd w:val="clear" w:color="auto" w:fill="auto"/>
            <w:tcMar>
              <w:left w:w="93" w:type="dxa"/>
            </w:tcMar>
            <w:vAlign w:val="center"/>
          </w:tcPr>
          <w:p w:rsidR="000B0085" w:rsidRDefault="000B0085">
            <w:pPr>
              <w:spacing w:line="240" w:lineRule="auto"/>
              <w:jc w:val="center"/>
              <w:rPr>
                <w:rFonts w:eastAsia="Times New Roman"/>
                <w:b/>
                <w:sz w:val="20"/>
                <w:szCs w:val="20"/>
              </w:rPr>
            </w:pPr>
          </w:p>
          <w:p w:rsidR="000B0085" w:rsidRDefault="00E52318">
            <w:pPr>
              <w:spacing w:line="240" w:lineRule="auto"/>
              <w:jc w:val="center"/>
              <w:rPr>
                <w:rFonts w:eastAsia="Times New Roman"/>
                <w:b/>
                <w:sz w:val="20"/>
                <w:szCs w:val="20"/>
              </w:rPr>
            </w:pPr>
            <w:r>
              <w:rPr>
                <w:rFonts w:eastAsia="Times New Roman"/>
                <w:b/>
                <w:sz w:val="20"/>
                <w:szCs w:val="20"/>
              </w:rPr>
              <w:t>II Katedra i Klinika Pediatrii, Gastroenterologii i Żywienia</w:t>
            </w:r>
          </w:p>
          <w:p w:rsidR="002163C8" w:rsidRDefault="002163C8">
            <w:pPr>
              <w:spacing w:line="240" w:lineRule="auto"/>
              <w:jc w:val="center"/>
              <w:rPr>
                <w:rFonts w:eastAsia="Times New Roman"/>
                <w:b/>
                <w:sz w:val="20"/>
                <w:szCs w:val="20"/>
              </w:rPr>
            </w:pPr>
          </w:p>
        </w:tc>
      </w:tr>
      <w:tr w:rsidR="000B0085">
        <w:tc>
          <w:tcPr>
            <w:tcW w:w="863" w:type="dxa"/>
            <w:tcBorders>
              <w:top w:val="doub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39</w:t>
            </w:r>
          </w:p>
        </w:tc>
        <w:tc>
          <w:tcPr>
            <w:tcW w:w="23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 xml:space="preserve">Barbara </w:t>
            </w:r>
            <w:proofErr w:type="spellStart"/>
            <w:r>
              <w:rPr>
                <w:rFonts w:eastAsia="Times New Roman" w:cs="Times"/>
              </w:rPr>
              <w:t>Iwańczak</w:t>
            </w:r>
            <w:proofErr w:type="spellEnd"/>
          </w:p>
        </w:tc>
        <w:tc>
          <w:tcPr>
            <w:tcW w:w="1475"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prof. dr hab.</w:t>
            </w:r>
          </w:p>
        </w:tc>
        <w:tc>
          <w:tcPr>
            <w:tcW w:w="1463"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 pediatra, gastroenterolog</w:t>
            </w:r>
          </w:p>
        </w:tc>
        <w:tc>
          <w:tcPr>
            <w:tcW w:w="1950" w:type="dxa"/>
            <w:tcBorders>
              <w:top w:val="doub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40</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Andrzej Stawarski</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 gastroenterolog</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75648F">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75648F" w:rsidRDefault="0075648F" w:rsidP="0075648F">
            <w:pPr>
              <w:spacing w:line="240" w:lineRule="auto"/>
              <w:jc w:val="center"/>
              <w:rPr>
                <w:rFonts w:eastAsia="Times New Roman"/>
                <w:b/>
              </w:rPr>
            </w:pPr>
            <w:r>
              <w:rPr>
                <w:rFonts w:eastAsia="Times New Roman"/>
                <w:b/>
              </w:rPr>
              <w:t>41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cs="Times"/>
              </w:rPr>
            </w:pPr>
            <w:r>
              <w:rPr>
                <w:rFonts w:eastAsia="Times New Roman" w:cs="Times"/>
              </w:rPr>
              <w:t xml:space="preserve">Anna </w:t>
            </w:r>
            <w:proofErr w:type="spellStart"/>
            <w:r>
              <w:rPr>
                <w:rFonts w:eastAsia="Times New Roman" w:cs="Times"/>
              </w:rPr>
              <w:t>Kofla-Dłubacz</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648F" w:rsidRDefault="0075648F" w:rsidP="0075648F">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648F" w:rsidRDefault="0075648F" w:rsidP="0075648F">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75648F" w:rsidRDefault="0075648F" w:rsidP="0075648F">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42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 xml:space="preserve">Tomasz </w:t>
            </w:r>
            <w:proofErr w:type="spellStart"/>
            <w:r>
              <w:rPr>
                <w:rFonts w:eastAsia="Times New Roman" w:cs="Times"/>
              </w:rPr>
              <w:t>Pytrus</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 gastroenterolog</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lastRenderedPageBreak/>
              <w:t>43</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 xml:space="preserve">Elżbieta </w:t>
            </w:r>
            <w:proofErr w:type="spellStart"/>
            <w:r>
              <w:rPr>
                <w:rFonts w:eastAsia="Times New Roman" w:cs="Times"/>
              </w:rPr>
              <w:t>Krzesiek</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 gastroenterolog</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44</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Krzysztof Matusiewicz</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45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Agnieszka Borys-Iwanicka</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dr n.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jc w:val="center"/>
              <w:rPr>
                <w:rFonts w:eastAsia="Times New Roman"/>
              </w:rPr>
            </w:pPr>
            <w:r>
              <w:rPr>
                <w:rFonts w:eastAsia="Times New Roman"/>
                <w:b/>
                <w:sz w:val="16"/>
                <w:szCs w:val="16"/>
              </w:rPr>
              <w:t>lekarz pediatra</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0B0085" w:rsidTr="0075648F">
        <w:tc>
          <w:tcPr>
            <w:tcW w:w="863" w:type="dxa"/>
            <w:tcBorders>
              <w:top w:val="single" w:sz="4" w:space="0" w:color="00000A"/>
              <w:left w:val="double" w:sz="4" w:space="0" w:color="00000A"/>
              <w:bottom w:val="single" w:sz="4" w:space="0" w:color="00000A"/>
              <w:right w:val="single" w:sz="4" w:space="0" w:color="00000A"/>
            </w:tcBorders>
            <w:shd w:val="clear" w:color="auto" w:fill="auto"/>
            <w:tcMar>
              <w:left w:w="93" w:type="dxa"/>
            </w:tcMar>
            <w:vAlign w:val="center"/>
          </w:tcPr>
          <w:p w:rsidR="000B0085" w:rsidRDefault="002163C8">
            <w:pPr>
              <w:spacing w:line="240" w:lineRule="auto"/>
              <w:jc w:val="center"/>
              <w:rPr>
                <w:rFonts w:eastAsia="Times New Roman"/>
                <w:b/>
              </w:rPr>
            </w:pPr>
            <w:r>
              <w:rPr>
                <w:rFonts w:eastAsia="Times New Roman"/>
                <w:b/>
              </w:rPr>
              <w:t>46</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cs="Times"/>
              </w:rPr>
            </w:pPr>
            <w:r>
              <w:rPr>
                <w:rFonts w:eastAsia="Times New Roman" w:cs="Times"/>
              </w:rPr>
              <w:t xml:space="preserve">Katarzyna </w:t>
            </w:r>
            <w:proofErr w:type="spellStart"/>
            <w:r>
              <w:rPr>
                <w:rFonts w:eastAsia="Times New Roman" w:cs="Times"/>
              </w:rPr>
              <w:t>Akutko</w:t>
            </w:r>
            <w:proofErr w:type="spellEnd"/>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 med.</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0085" w:rsidRDefault="00E52318">
            <w:pPr>
              <w:spacing w:line="240" w:lineRule="auto"/>
              <w:jc w:val="center"/>
              <w:rPr>
                <w:rFonts w:eastAsia="Times New Roman"/>
                <w:b/>
                <w:sz w:val="16"/>
                <w:szCs w:val="16"/>
              </w:rPr>
            </w:pPr>
            <w:r>
              <w:rPr>
                <w:rFonts w:eastAsia="Times New Roman"/>
                <w:b/>
                <w:sz w:val="16"/>
                <w:szCs w:val="16"/>
              </w:rPr>
              <w:t>lekarz</w:t>
            </w:r>
          </w:p>
        </w:tc>
        <w:tc>
          <w:tcPr>
            <w:tcW w:w="1950" w:type="dxa"/>
            <w:tcBorders>
              <w:top w:val="single" w:sz="4" w:space="0" w:color="00000A"/>
              <w:left w:val="single" w:sz="4" w:space="0" w:color="00000A"/>
              <w:bottom w:val="single" w:sz="4" w:space="0" w:color="00000A"/>
              <w:right w:val="double" w:sz="4" w:space="0" w:color="00000A"/>
            </w:tcBorders>
            <w:shd w:val="clear" w:color="auto" w:fill="auto"/>
            <w:tcMar>
              <w:left w:w="103" w:type="dxa"/>
            </w:tcMar>
            <w:vAlign w:val="center"/>
          </w:tcPr>
          <w:p w:rsidR="000B0085" w:rsidRDefault="00E52318">
            <w:pPr>
              <w:jc w:val="center"/>
            </w:pPr>
            <w:r>
              <w:rPr>
                <w:rFonts w:eastAsia="Times New Roman"/>
                <w:b/>
                <w:sz w:val="16"/>
                <w:szCs w:val="16"/>
              </w:rPr>
              <w:t>ćwiczenia</w:t>
            </w:r>
          </w:p>
        </w:tc>
      </w:tr>
      <w:tr w:rsidR="0075648F">
        <w:tc>
          <w:tcPr>
            <w:tcW w:w="863" w:type="dxa"/>
            <w:tcBorders>
              <w:top w:val="single" w:sz="4" w:space="0" w:color="00000A"/>
              <w:left w:val="double" w:sz="4" w:space="0" w:color="00000A"/>
              <w:bottom w:val="double" w:sz="4" w:space="0" w:color="00000A"/>
              <w:right w:val="single" w:sz="4" w:space="0" w:color="00000A"/>
            </w:tcBorders>
            <w:shd w:val="clear" w:color="auto" w:fill="auto"/>
            <w:tcMar>
              <w:left w:w="93" w:type="dxa"/>
            </w:tcMar>
            <w:vAlign w:val="center"/>
          </w:tcPr>
          <w:p w:rsidR="0075648F" w:rsidRDefault="0075648F" w:rsidP="0075648F">
            <w:pPr>
              <w:spacing w:line="240" w:lineRule="auto"/>
              <w:jc w:val="center"/>
              <w:rPr>
                <w:rFonts w:eastAsia="Times New Roman"/>
                <w:b/>
              </w:rPr>
            </w:pPr>
            <w:r>
              <w:rPr>
                <w:rFonts w:eastAsia="Times New Roman"/>
                <w:b/>
              </w:rPr>
              <w:t>47</w:t>
            </w:r>
          </w:p>
        </w:tc>
        <w:tc>
          <w:tcPr>
            <w:tcW w:w="23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cs="Times"/>
              </w:rPr>
            </w:pPr>
            <w:r>
              <w:rPr>
                <w:rFonts w:eastAsia="Times New Roman" w:cs="Times"/>
              </w:rPr>
              <w:t xml:space="preserve">Tatiana </w:t>
            </w:r>
            <w:proofErr w:type="spellStart"/>
            <w:r>
              <w:rPr>
                <w:rFonts w:eastAsia="Times New Roman" w:cs="Times"/>
              </w:rPr>
              <w:t>Jamer</w:t>
            </w:r>
            <w:proofErr w:type="spellEnd"/>
          </w:p>
        </w:tc>
        <w:tc>
          <w:tcPr>
            <w:tcW w:w="1475"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b/>
                <w:sz w:val="16"/>
                <w:szCs w:val="16"/>
              </w:rPr>
            </w:pPr>
            <w:r>
              <w:rPr>
                <w:rFonts w:eastAsia="Times New Roman"/>
                <w:b/>
                <w:sz w:val="16"/>
                <w:szCs w:val="16"/>
              </w:rPr>
              <w:t xml:space="preserve">dr n. med. </w:t>
            </w:r>
          </w:p>
        </w:tc>
        <w:tc>
          <w:tcPr>
            <w:tcW w:w="1463"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b/>
                <w:sz w:val="16"/>
                <w:szCs w:val="16"/>
              </w:rPr>
            </w:pPr>
            <w:r>
              <w:rPr>
                <w:rFonts w:eastAsia="Times New Roman"/>
                <w:b/>
                <w:sz w:val="16"/>
                <w:szCs w:val="16"/>
              </w:rPr>
              <w:t>medycyna</w:t>
            </w:r>
          </w:p>
        </w:tc>
        <w:tc>
          <w:tcPr>
            <w:tcW w:w="1462"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center"/>
          </w:tcPr>
          <w:p w:rsidR="0075648F" w:rsidRDefault="0075648F" w:rsidP="0075648F">
            <w:pPr>
              <w:spacing w:line="240" w:lineRule="auto"/>
              <w:jc w:val="center"/>
              <w:rPr>
                <w:rFonts w:eastAsia="Times New Roman"/>
                <w:b/>
                <w:sz w:val="16"/>
                <w:szCs w:val="16"/>
              </w:rPr>
            </w:pPr>
            <w:r>
              <w:rPr>
                <w:rFonts w:eastAsia="Times New Roman"/>
                <w:b/>
                <w:sz w:val="16"/>
                <w:szCs w:val="16"/>
              </w:rPr>
              <w:t>lekarz</w:t>
            </w:r>
          </w:p>
        </w:tc>
        <w:tc>
          <w:tcPr>
            <w:tcW w:w="1950" w:type="dxa"/>
            <w:tcBorders>
              <w:top w:val="single" w:sz="4" w:space="0" w:color="00000A"/>
              <w:left w:val="single" w:sz="4" w:space="0" w:color="00000A"/>
              <w:bottom w:val="double" w:sz="4" w:space="0" w:color="00000A"/>
              <w:right w:val="double" w:sz="4" w:space="0" w:color="00000A"/>
            </w:tcBorders>
            <w:shd w:val="clear" w:color="auto" w:fill="auto"/>
            <w:tcMar>
              <w:left w:w="103" w:type="dxa"/>
            </w:tcMar>
            <w:vAlign w:val="center"/>
          </w:tcPr>
          <w:p w:rsidR="0075648F" w:rsidRDefault="0075648F" w:rsidP="0075648F">
            <w:pPr>
              <w:jc w:val="center"/>
              <w:rPr>
                <w:rFonts w:eastAsia="Times New Roman"/>
                <w:b/>
                <w:sz w:val="16"/>
                <w:szCs w:val="16"/>
              </w:rPr>
            </w:pPr>
            <w:r>
              <w:rPr>
                <w:rFonts w:eastAsia="Times New Roman"/>
                <w:b/>
                <w:sz w:val="16"/>
                <w:szCs w:val="16"/>
              </w:rPr>
              <w:t>ćwiczenia</w:t>
            </w:r>
          </w:p>
        </w:tc>
      </w:tr>
    </w:tbl>
    <w:p w:rsidR="000B0085" w:rsidRDefault="000B0085">
      <w:pPr>
        <w:rPr>
          <w:rFonts w:eastAsia="Calibri" w:cs="Times New Roman"/>
          <w:sz w:val="2"/>
          <w:szCs w:val="2"/>
        </w:rPr>
      </w:pPr>
    </w:p>
    <w:tbl>
      <w:tblPr>
        <w:tblW w:w="9072" w:type="dxa"/>
        <w:tblLook w:val="00A0"/>
      </w:tblPr>
      <w:tblGrid>
        <w:gridCol w:w="4705"/>
        <w:gridCol w:w="4367"/>
      </w:tblGrid>
      <w:tr w:rsidR="000B0085">
        <w:tc>
          <w:tcPr>
            <w:tcW w:w="4704" w:type="dxa"/>
            <w:shd w:val="clear" w:color="auto" w:fill="auto"/>
            <w:vAlign w:val="center"/>
          </w:tcPr>
          <w:p w:rsidR="000B0085" w:rsidRDefault="00E52318">
            <w:pPr>
              <w:spacing w:after="0" w:line="360" w:lineRule="auto"/>
              <w:jc w:val="both"/>
              <w:rPr>
                <w:rFonts w:eastAsia="Calibri" w:cs="Times New Roman"/>
                <w:sz w:val="20"/>
                <w:szCs w:val="20"/>
                <w:lang w:eastAsia="pl-PL"/>
              </w:rPr>
            </w:pPr>
            <w:r>
              <w:rPr>
                <w:rFonts w:eastAsia="Calibri" w:cs="Times"/>
                <w:b/>
                <w:bCs/>
                <w:sz w:val="20"/>
                <w:szCs w:val="20"/>
                <w:lang w:eastAsia="pl-PL"/>
              </w:rPr>
              <w:t>Data opracowania sylabusa</w:t>
            </w:r>
          </w:p>
        </w:tc>
        <w:tc>
          <w:tcPr>
            <w:tcW w:w="4367" w:type="dxa"/>
            <w:shd w:val="clear" w:color="auto" w:fill="auto"/>
            <w:vAlign w:val="center"/>
          </w:tcPr>
          <w:p w:rsidR="000B0085" w:rsidRDefault="00E52318">
            <w:pPr>
              <w:spacing w:after="0" w:line="360" w:lineRule="auto"/>
              <w:jc w:val="right"/>
              <w:rPr>
                <w:rFonts w:eastAsia="Calibri" w:cs="Times New Roman"/>
                <w:sz w:val="20"/>
                <w:szCs w:val="20"/>
                <w:lang w:eastAsia="pl-PL"/>
              </w:rPr>
            </w:pPr>
            <w:r>
              <w:rPr>
                <w:rFonts w:eastAsia="Calibri" w:cs="Times"/>
                <w:b/>
                <w:bCs/>
                <w:sz w:val="20"/>
                <w:szCs w:val="20"/>
                <w:lang w:eastAsia="pl-PL"/>
              </w:rPr>
              <w:t>Sylabus opracował(a)</w:t>
            </w:r>
          </w:p>
        </w:tc>
      </w:tr>
      <w:tr w:rsidR="000B0085">
        <w:tc>
          <w:tcPr>
            <w:tcW w:w="4704" w:type="dxa"/>
            <w:shd w:val="clear" w:color="auto" w:fill="auto"/>
            <w:vAlign w:val="bottom"/>
          </w:tcPr>
          <w:p w:rsidR="000B0085" w:rsidRDefault="000B0085">
            <w:pPr>
              <w:spacing w:after="0" w:line="360" w:lineRule="auto"/>
              <w:rPr>
                <w:rFonts w:eastAsia="Calibri" w:cs="Times"/>
                <w:sz w:val="20"/>
                <w:szCs w:val="20"/>
                <w:lang w:eastAsia="pl-PL"/>
              </w:rPr>
            </w:pPr>
          </w:p>
          <w:p w:rsidR="000B0085" w:rsidRDefault="00E52318">
            <w:pPr>
              <w:spacing w:after="0" w:line="360" w:lineRule="auto"/>
              <w:rPr>
                <w:rFonts w:eastAsia="Calibri" w:cs="Times New Roman"/>
                <w:sz w:val="20"/>
                <w:szCs w:val="20"/>
                <w:lang w:eastAsia="pl-PL"/>
              </w:rPr>
            </w:pPr>
            <w:r>
              <w:rPr>
                <w:rFonts w:eastAsia="Calibri" w:cs="Times"/>
                <w:sz w:val="20"/>
                <w:szCs w:val="20"/>
                <w:lang w:eastAsia="pl-PL"/>
              </w:rPr>
              <w:t>…………………………………………..</w:t>
            </w:r>
          </w:p>
        </w:tc>
        <w:tc>
          <w:tcPr>
            <w:tcW w:w="4367" w:type="dxa"/>
            <w:shd w:val="clear" w:color="auto" w:fill="auto"/>
            <w:vAlign w:val="bottom"/>
          </w:tcPr>
          <w:p w:rsidR="000B0085" w:rsidRDefault="00E52318">
            <w:pPr>
              <w:spacing w:after="0" w:line="360" w:lineRule="auto"/>
              <w:jc w:val="right"/>
              <w:rPr>
                <w:rFonts w:eastAsia="Calibri" w:cs="Times New Roman"/>
                <w:sz w:val="20"/>
                <w:szCs w:val="20"/>
                <w:lang w:eastAsia="pl-PL"/>
              </w:rPr>
            </w:pPr>
            <w:r>
              <w:rPr>
                <w:rFonts w:eastAsia="Calibri" w:cs="Times"/>
                <w:bCs/>
                <w:sz w:val="20"/>
                <w:szCs w:val="20"/>
                <w:lang w:eastAsia="pl-PL"/>
              </w:rPr>
              <w:t>……...........................................</w:t>
            </w:r>
          </w:p>
        </w:tc>
      </w:tr>
      <w:tr w:rsidR="000B0085">
        <w:tc>
          <w:tcPr>
            <w:tcW w:w="9071" w:type="dxa"/>
            <w:gridSpan w:val="2"/>
            <w:shd w:val="clear" w:color="auto" w:fill="auto"/>
            <w:vAlign w:val="center"/>
          </w:tcPr>
          <w:p w:rsidR="000B0085" w:rsidRDefault="000B0085">
            <w:pPr>
              <w:spacing w:after="0" w:line="360" w:lineRule="auto"/>
              <w:jc w:val="right"/>
              <w:rPr>
                <w:rFonts w:eastAsia="Calibri" w:cs="Times"/>
                <w:b/>
                <w:bCs/>
                <w:sz w:val="20"/>
                <w:szCs w:val="20"/>
                <w:lang w:eastAsia="pl-PL"/>
              </w:rPr>
            </w:pPr>
          </w:p>
          <w:p w:rsidR="000B0085" w:rsidRDefault="00E52318">
            <w:pPr>
              <w:spacing w:after="0" w:line="360" w:lineRule="auto"/>
              <w:jc w:val="right"/>
              <w:rPr>
                <w:rFonts w:eastAsia="Calibri" w:cs="Times New Roman"/>
                <w:sz w:val="20"/>
                <w:szCs w:val="20"/>
                <w:lang w:eastAsia="pl-PL"/>
              </w:rPr>
            </w:pPr>
            <w:r>
              <w:rPr>
                <w:rFonts w:eastAsia="Calibri" w:cs="Times"/>
                <w:b/>
                <w:bCs/>
                <w:sz w:val="20"/>
                <w:szCs w:val="20"/>
                <w:lang w:eastAsia="pl-PL"/>
              </w:rPr>
              <w:t>Podpis Kierownika jednostki prowadz</w:t>
            </w:r>
            <w:r>
              <w:rPr>
                <w:rFonts w:eastAsia="TimesNewRoman,Bold" w:cs="TimesNewRoman,Bold"/>
                <w:b/>
                <w:bCs/>
                <w:sz w:val="20"/>
                <w:szCs w:val="20"/>
                <w:lang w:eastAsia="pl-PL"/>
              </w:rPr>
              <w:t>ą</w:t>
            </w:r>
            <w:r>
              <w:rPr>
                <w:rFonts w:eastAsia="Calibri" w:cs="Times"/>
                <w:b/>
                <w:bCs/>
                <w:sz w:val="20"/>
                <w:szCs w:val="20"/>
                <w:lang w:eastAsia="pl-PL"/>
              </w:rPr>
              <w:t>cej zaj</w:t>
            </w:r>
            <w:r>
              <w:rPr>
                <w:rFonts w:eastAsia="TimesNewRoman,Bold" w:cs="TimesNewRoman,Bold"/>
                <w:b/>
                <w:bCs/>
                <w:sz w:val="20"/>
                <w:szCs w:val="20"/>
                <w:lang w:eastAsia="pl-PL"/>
              </w:rPr>
              <w:t>ę</w:t>
            </w:r>
            <w:r>
              <w:rPr>
                <w:rFonts w:eastAsia="Calibri" w:cs="Times"/>
                <w:b/>
                <w:bCs/>
                <w:sz w:val="20"/>
                <w:szCs w:val="20"/>
                <w:lang w:eastAsia="pl-PL"/>
              </w:rPr>
              <w:t>cia</w:t>
            </w:r>
          </w:p>
        </w:tc>
      </w:tr>
      <w:tr w:rsidR="000B0085">
        <w:tc>
          <w:tcPr>
            <w:tcW w:w="9071" w:type="dxa"/>
            <w:gridSpan w:val="2"/>
            <w:shd w:val="clear" w:color="auto" w:fill="auto"/>
            <w:vAlign w:val="center"/>
          </w:tcPr>
          <w:p w:rsidR="000B0085" w:rsidRDefault="000B0085">
            <w:pPr>
              <w:spacing w:after="0" w:line="360" w:lineRule="auto"/>
              <w:jc w:val="right"/>
              <w:rPr>
                <w:rFonts w:eastAsia="Calibri" w:cs="Times"/>
                <w:sz w:val="20"/>
                <w:szCs w:val="20"/>
                <w:lang w:eastAsia="pl-PL"/>
              </w:rPr>
            </w:pPr>
          </w:p>
          <w:p w:rsidR="000B0085" w:rsidRDefault="00E52318">
            <w:pPr>
              <w:spacing w:after="0" w:line="360" w:lineRule="auto"/>
              <w:jc w:val="right"/>
              <w:rPr>
                <w:rFonts w:eastAsia="Calibri" w:cs="Times New Roman"/>
                <w:sz w:val="20"/>
                <w:szCs w:val="20"/>
                <w:lang w:eastAsia="pl-PL"/>
              </w:rPr>
            </w:pPr>
            <w:r>
              <w:rPr>
                <w:rFonts w:eastAsia="Calibri" w:cs="Times"/>
                <w:sz w:val="20"/>
                <w:szCs w:val="20"/>
                <w:lang w:eastAsia="pl-PL"/>
              </w:rPr>
              <w:t>……………....………………………………………………………………</w:t>
            </w:r>
          </w:p>
        </w:tc>
      </w:tr>
    </w:tbl>
    <w:p w:rsidR="000B0085" w:rsidRDefault="000B0085">
      <w:pPr>
        <w:spacing w:after="0" w:line="240" w:lineRule="auto"/>
        <w:rPr>
          <w:rFonts w:eastAsia="Calibri" w:cs="Times"/>
          <w:b/>
          <w:bCs/>
          <w:sz w:val="10"/>
          <w:szCs w:val="10"/>
          <w:lang w:eastAsia="pl-PL"/>
        </w:rPr>
      </w:pPr>
    </w:p>
    <w:p w:rsidR="000B0085" w:rsidRDefault="00E52318">
      <w:pPr>
        <w:rPr>
          <w:rFonts w:eastAsia="Calibri" w:cs="Times"/>
          <w:b/>
          <w:bCs/>
          <w:sz w:val="20"/>
          <w:szCs w:val="20"/>
          <w:lang w:eastAsia="pl-PL"/>
        </w:rPr>
      </w:pPr>
      <w:r>
        <w:rPr>
          <w:rFonts w:eastAsia="Calibri" w:cs="Times"/>
          <w:b/>
          <w:bCs/>
          <w:sz w:val="20"/>
          <w:szCs w:val="20"/>
          <w:lang w:eastAsia="pl-PL"/>
        </w:rPr>
        <w:t>Podpis Dziekana właściwego wydziału</w:t>
      </w:r>
    </w:p>
    <w:p w:rsidR="000B0085" w:rsidRDefault="000B0085">
      <w:pPr>
        <w:rPr>
          <w:rFonts w:eastAsia="Calibri" w:cs="Times"/>
          <w:b/>
          <w:bCs/>
          <w:sz w:val="20"/>
          <w:szCs w:val="20"/>
          <w:lang w:eastAsia="pl-PL"/>
        </w:rPr>
      </w:pPr>
    </w:p>
    <w:p w:rsidR="000B0085" w:rsidRDefault="00E52318">
      <w:r>
        <w:rPr>
          <w:rFonts w:eastAsia="Calibri" w:cs="Times"/>
          <w:b/>
          <w:bCs/>
          <w:sz w:val="20"/>
          <w:szCs w:val="20"/>
          <w:lang w:eastAsia="pl-PL"/>
        </w:rPr>
        <w:t>………………………………………………………………..</w:t>
      </w:r>
    </w:p>
    <w:p w:rsidR="000B0085" w:rsidRDefault="000B0085"/>
    <w:sectPr w:rsidR="000B0085" w:rsidSect="00303CAE">
      <w:headerReference w:type="default" r:id="rId11"/>
      <w:footerReference w:type="default" r:id="rId12"/>
      <w:pgSz w:w="11906" w:h="16838"/>
      <w:pgMar w:top="1276" w:right="1417" w:bottom="993" w:left="1417" w:header="426"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0E" w:rsidRDefault="0063250E">
      <w:pPr>
        <w:spacing w:after="0" w:line="240" w:lineRule="auto"/>
      </w:pPr>
      <w:r>
        <w:separator/>
      </w:r>
    </w:p>
  </w:endnote>
  <w:endnote w:type="continuationSeparator" w:id="0">
    <w:p w:rsidR="0063250E" w:rsidRDefault="00632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00000007" w:usb1="00000000" w:usb2="00000000" w:usb3="00000000" w:csb0="00000093" w:csb1="00000000"/>
  </w:font>
  <w:font w:name="TimesNew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8" w:rsidRDefault="00E523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0E" w:rsidRDefault="0063250E">
      <w:pPr>
        <w:spacing w:after="0" w:line="240" w:lineRule="auto"/>
      </w:pPr>
      <w:r>
        <w:separator/>
      </w:r>
    </w:p>
  </w:footnote>
  <w:footnote w:type="continuationSeparator" w:id="0">
    <w:p w:rsidR="0063250E" w:rsidRDefault="00632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8" w:rsidRDefault="00E52318">
    <w:pPr>
      <w:pStyle w:val="Gwka"/>
      <w:tabs>
        <w:tab w:val="left" w:pos="5812"/>
      </w:tabs>
      <w:ind w:left="5664"/>
      <w:rPr>
        <w:sz w:val="16"/>
      </w:rPr>
    </w:pPr>
    <w:r>
      <w:rPr>
        <w:noProof/>
        <w:lang w:eastAsia="pl-PL"/>
      </w:rPr>
      <w:drawing>
        <wp:anchor distT="0" distB="0" distL="114300" distR="120650" simplePos="0" relativeHeight="11" behindDoc="1"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793365" cy="748665"/>
                  </a:xfrm>
                  <a:prstGeom prst="rect">
                    <a:avLst/>
                  </a:prstGeom>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E52318" w:rsidRDefault="00E52318">
    <w:pPr>
      <w:pStyle w:val="Gwka"/>
      <w:tabs>
        <w:tab w:val="left" w:pos="8100"/>
      </w:tabs>
      <w:ind w:left="4536"/>
      <w:rPr>
        <w:sz w:val="16"/>
      </w:rPr>
    </w:pPr>
    <w:r>
      <w:rPr>
        <w:sz w:val="16"/>
      </w:rPr>
      <w:t xml:space="preserve">                                   we Wrocławiu nr 1630</w:t>
    </w:r>
  </w:p>
  <w:p w:rsidR="00E52318" w:rsidRDefault="00E52318">
    <w:pPr>
      <w:pStyle w:val="Gwka"/>
      <w:tabs>
        <w:tab w:val="left" w:pos="8100"/>
      </w:tabs>
      <w:ind w:left="4536"/>
      <w:rPr>
        <w:sz w:val="16"/>
      </w:rPr>
    </w:pPr>
    <w:r>
      <w:rPr>
        <w:sz w:val="16"/>
      </w:rPr>
      <w:t xml:space="preserve">                                   z dnia 30 marca 2016 r.</w:t>
    </w:r>
  </w:p>
  <w:p w:rsidR="00E52318" w:rsidRDefault="00E52318">
    <w:pPr>
      <w:pStyle w:val="Gwka"/>
      <w:ind w:left="4536"/>
      <w:jc w:val="right"/>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B0085"/>
    <w:rsid w:val="00091B94"/>
    <w:rsid w:val="000B0085"/>
    <w:rsid w:val="001A25F7"/>
    <w:rsid w:val="001C5672"/>
    <w:rsid w:val="002163C8"/>
    <w:rsid w:val="0025783D"/>
    <w:rsid w:val="00303CAE"/>
    <w:rsid w:val="00383AD4"/>
    <w:rsid w:val="00387231"/>
    <w:rsid w:val="003B2BB0"/>
    <w:rsid w:val="003C286A"/>
    <w:rsid w:val="00461129"/>
    <w:rsid w:val="004A2429"/>
    <w:rsid w:val="00587F03"/>
    <w:rsid w:val="005C32E7"/>
    <w:rsid w:val="005E58DB"/>
    <w:rsid w:val="00621B5C"/>
    <w:rsid w:val="0063250E"/>
    <w:rsid w:val="0075648F"/>
    <w:rsid w:val="00757EC3"/>
    <w:rsid w:val="00860A67"/>
    <w:rsid w:val="00874DCA"/>
    <w:rsid w:val="008F4BBD"/>
    <w:rsid w:val="009A4787"/>
    <w:rsid w:val="00A40EF5"/>
    <w:rsid w:val="00A76652"/>
    <w:rsid w:val="00BA26A5"/>
    <w:rsid w:val="00C500FD"/>
    <w:rsid w:val="00CC24AA"/>
    <w:rsid w:val="00CD712A"/>
    <w:rsid w:val="00CE5616"/>
    <w:rsid w:val="00D4392D"/>
    <w:rsid w:val="00DA4E1B"/>
    <w:rsid w:val="00E0660A"/>
    <w:rsid w:val="00E27B93"/>
    <w:rsid w:val="00E52318"/>
    <w:rsid w:val="00EC7EEA"/>
    <w:rsid w:val="00F5185D"/>
    <w:rsid w:val="00F554BA"/>
    <w:rsid w:val="00F775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FA5"/>
    <w:pPr>
      <w:spacing w:after="200"/>
    </w:pPr>
  </w:style>
  <w:style w:type="paragraph" w:styleId="Nagwek1">
    <w:name w:val="heading 1"/>
    <w:basedOn w:val="Nagwek"/>
    <w:rsid w:val="001A25F7"/>
    <w:pPr>
      <w:outlineLvl w:val="0"/>
    </w:pPr>
  </w:style>
  <w:style w:type="paragraph" w:styleId="Nagwek2">
    <w:name w:val="heading 2"/>
    <w:basedOn w:val="Nagwek"/>
    <w:rsid w:val="001A25F7"/>
    <w:pPr>
      <w:outlineLvl w:val="1"/>
    </w:pPr>
  </w:style>
  <w:style w:type="paragraph" w:styleId="Nagwek3">
    <w:name w:val="heading 3"/>
    <w:basedOn w:val="Nagwek"/>
    <w:rsid w:val="001A25F7"/>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590FA5"/>
  </w:style>
  <w:style w:type="character" w:customStyle="1" w:styleId="StopkaZnak">
    <w:name w:val="Stopka Znak"/>
    <w:basedOn w:val="Domylnaczcionkaakapitu"/>
    <w:link w:val="Stopka"/>
    <w:uiPriority w:val="99"/>
    <w:semiHidden/>
    <w:qFormat/>
    <w:rsid w:val="00590FA5"/>
  </w:style>
  <w:style w:type="character" w:customStyle="1" w:styleId="czeinternetowe">
    <w:name w:val="Łącze internetowe"/>
    <w:uiPriority w:val="99"/>
    <w:unhideWhenUsed/>
    <w:rsid w:val="00590FA5"/>
    <w:rPr>
      <w:color w:val="0000FF"/>
      <w:u w:val="single"/>
    </w:rPr>
  </w:style>
  <w:style w:type="character" w:customStyle="1" w:styleId="TekstdymkaZnak">
    <w:name w:val="Tekst dymka Znak"/>
    <w:basedOn w:val="Domylnaczcionkaakapitu"/>
    <w:link w:val="Tekstdymka"/>
    <w:uiPriority w:val="99"/>
    <w:semiHidden/>
    <w:qFormat/>
    <w:rsid w:val="00E14A0F"/>
    <w:rPr>
      <w:rFonts w:ascii="Tahoma" w:hAnsi="Tahoma" w:cs="Tahoma"/>
      <w:sz w:val="16"/>
      <w:szCs w:val="16"/>
    </w:rPr>
  </w:style>
  <w:style w:type="paragraph" w:styleId="Nagwek">
    <w:name w:val="header"/>
    <w:basedOn w:val="Normalny"/>
    <w:next w:val="Tretekstu"/>
    <w:link w:val="NagwekZnak"/>
    <w:qFormat/>
    <w:rsid w:val="001A25F7"/>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1A25F7"/>
    <w:pPr>
      <w:spacing w:after="140" w:line="288" w:lineRule="auto"/>
    </w:pPr>
  </w:style>
  <w:style w:type="paragraph" w:styleId="Lista">
    <w:name w:val="List"/>
    <w:basedOn w:val="Tretekstu"/>
    <w:rsid w:val="001A25F7"/>
    <w:rPr>
      <w:rFonts w:cs="Arial"/>
    </w:rPr>
  </w:style>
  <w:style w:type="paragraph" w:styleId="Podpis">
    <w:name w:val="Signature"/>
    <w:basedOn w:val="Normalny"/>
    <w:rsid w:val="001A25F7"/>
    <w:pPr>
      <w:suppressLineNumbers/>
      <w:spacing w:before="120" w:after="120"/>
    </w:pPr>
    <w:rPr>
      <w:rFonts w:cs="Arial"/>
      <w:i/>
      <w:iCs/>
      <w:sz w:val="24"/>
      <w:szCs w:val="24"/>
    </w:rPr>
  </w:style>
  <w:style w:type="paragraph" w:customStyle="1" w:styleId="Indeks">
    <w:name w:val="Indeks"/>
    <w:basedOn w:val="Normalny"/>
    <w:qFormat/>
    <w:rsid w:val="001A25F7"/>
    <w:pPr>
      <w:suppressLineNumbers/>
    </w:pPr>
    <w:rPr>
      <w:rFonts w:cs="Arial"/>
    </w:rPr>
  </w:style>
  <w:style w:type="paragraph" w:customStyle="1" w:styleId="Gwka">
    <w:name w:val="Główka"/>
    <w:basedOn w:val="Normalny"/>
    <w:uiPriority w:val="99"/>
    <w:semiHidden/>
    <w:unhideWhenUsed/>
    <w:rsid w:val="00590FA5"/>
    <w:pPr>
      <w:tabs>
        <w:tab w:val="center" w:pos="4536"/>
        <w:tab w:val="right" w:pos="9072"/>
      </w:tabs>
      <w:spacing w:after="0" w:line="240" w:lineRule="auto"/>
    </w:pPr>
  </w:style>
  <w:style w:type="paragraph" w:styleId="Stopka">
    <w:name w:val="footer"/>
    <w:basedOn w:val="Normalny"/>
    <w:link w:val="StopkaZnak"/>
    <w:uiPriority w:val="99"/>
    <w:semiHidden/>
    <w:unhideWhenUsed/>
    <w:rsid w:val="00590FA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14A0F"/>
    <w:pPr>
      <w:spacing w:after="0" w:line="240" w:lineRule="auto"/>
    </w:pPr>
    <w:rPr>
      <w:rFonts w:ascii="Tahoma" w:hAnsi="Tahoma" w:cs="Tahoma"/>
      <w:sz w:val="16"/>
      <w:szCs w:val="16"/>
    </w:rPr>
  </w:style>
  <w:style w:type="paragraph" w:styleId="Akapitzlist">
    <w:name w:val="List Paragraph"/>
    <w:basedOn w:val="Normalny"/>
    <w:uiPriority w:val="34"/>
    <w:qFormat/>
    <w:rsid w:val="0091431B"/>
    <w:pPr>
      <w:ind w:left="720"/>
      <w:contextualSpacing/>
    </w:pPr>
  </w:style>
  <w:style w:type="paragraph" w:customStyle="1" w:styleId="Cytaty">
    <w:name w:val="Cytaty"/>
    <w:basedOn w:val="Normalny"/>
    <w:qFormat/>
    <w:rsid w:val="001A25F7"/>
  </w:style>
  <w:style w:type="paragraph" w:styleId="Tytu">
    <w:name w:val="Title"/>
    <w:basedOn w:val="Nagwek"/>
    <w:rsid w:val="001A25F7"/>
  </w:style>
  <w:style w:type="paragraph" w:styleId="Podtytu">
    <w:name w:val="Subtitle"/>
    <w:basedOn w:val="Nagwek"/>
    <w:rsid w:val="001A25F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wojcik@umed.wroc.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zej.boznanski@umed.wroc.p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z@pedalergol.am.wroc.p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ndrzej.boznanski@umed.wroc.pl" TargetMode="External"/><Relationship Id="rId4" Type="http://schemas.openxmlformats.org/officeDocument/2006/relationships/footnotes" Target="footnotes.xml"/><Relationship Id="rId9" Type="http://schemas.openxmlformats.org/officeDocument/2006/relationships/hyperlink" Target="mailto:aboz@pedalergol.am.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3897</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AM</cp:lastModifiedBy>
  <cp:revision>8</cp:revision>
  <cp:lastPrinted>2018-06-21T12:28:00Z</cp:lastPrinted>
  <dcterms:created xsi:type="dcterms:W3CDTF">2018-06-18T08:52:00Z</dcterms:created>
  <dcterms:modified xsi:type="dcterms:W3CDTF">2018-07-06T08:09:00Z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